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cs="黑体"/>
          <w:color w:val="000000"/>
          <w:sz w:val="32"/>
          <w:szCs w:val="32"/>
        </w:rPr>
      </w:pPr>
      <w:r>
        <w:rPr>
          <w:rFonts w:hint="eastAsia" w:ascii="黑体" w:hAnsi="黑体" w:eastAsia="黑体" w:cs="黑体"/>
          <w:color w:val="000000"/>
          <w:sz w:val="32"/>
          <w:szCs w:val="32"/>
        </w:rPr>
        <w:t>附件1</w:t>
      </w:r>
    </w:p>
    <w:p>
      <w:pPr>
        <w:adjustRightInd w:val="0"/>
        <w:snapToGrid w:val="0"/>
        <w:spacing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工程建设企业科技创新管理成果征集办法</w:t>
      </w:r>
    </w:p>
    <w:p>
      <w:pPr>
        <w:adjustRightInd w:val="0"/>
        <w:snapToGrid w:val="0"/>
        <w:spacing w:line="560" w:lineRule="exact"/>
        <w:jc w:val="center"/>
        <w:rPr>
          <w:rFonts w:ascii="黑体" w:hAnsi="黑体" w:eastAsia="黑体"/>
          <w:color w:val="000000"/>
          <w:sz w:val="32"/>
          <w:szCs w:val="32"/>
        </w:rPr>
      </w:pPr>
      <w:r>
        <w:rPr>
          <w:rFonts w:hint="eastAsia" w:ascii="黑体" w:hAnsi="黑体" w:eastAsia="黑体"/>
          <w:color w:val="000000"/>
          <w:sz w:val="32"/>
          <w:szCs w:val="32"/>
        </w:rPr>
        <w:t>（试行）</w:t>
      </w:r>
    </w:p>
    <w:p>
      <w:pPr>
        <w:adjustRightInd w:val="0"/>
        <w:snapToGrid w:val="0"/>
        <w:spacing w:line="560" w:lineRule="exact"/>
        <w:jc w:val="center"/>
        <w:rPr>
          <w:rFonts w:ascii="黑体" w:hAnsi="黑体" w:eastAsia="黑体"/>
          <w:color w:val="000000"/>
          <w:sz w:val="32"/>
          <w:szCs w:val="32"/>
        </w:rPr>
      </w:pPr>
      <w:r>
        <w:rPr>
          <w:rFonts w:hint="eastAsia" w:ascii="黑体" w:hAnsi="黑体" w:eastAsia="黑体"/>
          <w:color w:val="000000"/>
          <w:sz w:val="32"/>
          <w:szCs w:val="32"/>
        </w:rPr>
        <w:t>第一章  总  则</w:t>
      </w:r>
    </w:p>
    <w:p>
      <w:pPr>
        <w:numPr>
          <w:ilvl w:val="0"/>
          <w:numId w:val="1"/>
        </w:numPr>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为践行创新发展理念，促进工程建设企业以创新管理理论为指导，紧紧围绕“创新管理”，深化企业管理体制机制变革，并使企业在不断变化的政治经济形势下，在发展战略、组织机制变革、人力资源配置、文化建设等方面，具有内在的、源源不断的、可持续发展的创新动力，推动企业“软实力”和“硬科技”高度融合、高质量发展，探索建立适合我国工程建设企业实际的科技创新管理体系建设模式，依据国家相关法律法规，制定本办法。</w:t>
      </w:r>
    </w:p>
    <w:p>
      <w:pPr>
        <w:numPr>
          <w:ilvl w:val="0"/>
          <w:numId w:val="1"/>
        </w:num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本办法中的企业“科技创新管理成果”的</w:t>
      </w:r>
      <w:r>
        <w:rPr>
          <w:rFonts w:hint="eastAsia" w:ascii="仿宋" w:hAnsi="仿宋" w:eastAsia="仿宋" w:cs="微软雅黑"/>
          <w:sz w:val="32"/>
          <w:szCs w:val="32"/>
        </w:rPr>
        <w:t>内容</w:t>
      </w:r>
      <w:r>
        <w:rPr>
          <w:rFonts w:hint="eastAsia" w:ascii="仿宋_GB2312" w:eastAsia="仿宋_GB2312"/>
          <w:sz w:val="32"/>
          <w:szCs w:val="32"/>
        </w:rPr>
        <w:t>包</w:t>
      </w:r>
      <w:r>
        <w:rPr>
          <w:rFonts w:hint="eastAsia" w:ascii="仿宋" w:hAnsi="仿宋" w:eastAsia="仿宋" w:cs="微软雅黑"/>
          <w:sz w:val="32"/>
          <w:szCs w:val="32"/>
        </w:rPr>
        <w:t>括</w:t>
      </w:r>
      <w:r>
        <w:rPr>
          <w:rFonts w:hint="eastAsia" w:ascii="仿宋" w:hAnsi="仿宋" w:eastAsia="仿宋"/>
          <w:sz w:val="32"/>
          <w:szCs w:val="32"/>
        </w:rPr>
        <w:t>：</w:t>
      </w:r>
      <w:r>
        <w:rPr>
          <w:rFonts w:hint="eastAsia" w:ascii="仿宋_GB2312" w:eastAsia="仿宋_GB2312"/>
          <w:sz w:val="32"/>
          <w:szCs w:val="32"/>
        </w:rPr>
        <w:t>创新管理体系建设、创新战略规划、创新组织管理模式、创新制度建设、创新经营管理模式、创新人才队伍建设模式</w:t>
      </w:r>
      <w:r>
        <w:rPr>
          <w:rFonts w:hint="eastAsia" w:ascii="仿宋" w:hAnsi="仿宋" w:eastAsia="仿宋" w:cs="微软雅黑"/>
          <w:sz w:val="32"/>
          <w:szCs w:val="32"/>
        </w:rPr>
        <w:t>与</w:t>
      </w:r>
      <w:r>
        <w:rPr>
          <w:rFonts w:hint="eastAsia" w:ascii="仿宋_GB2312" w:eastAsia="仿宋_GB2312"/>
          <w:sz w:val="32"/>
          <w:szCs w:val="32"/>
        </w:rPr>
        <w:t>机制、创新平台建设管理模式、科研项目管理</w:t>
      </w:r>
      <w:r>
        <w:rPr>
          <w:rFonts w:hint="eastAsia" w:ascii="仿宋" w:hAnsi="仿宋" w:eastAsia="仿宋" w:cs="微软雅黑"/>
          <w:sz w:val="32"/>
          <w:szCs w:val="32"/>
        </w:rPr>
        <w:t>模式与办法</w:t>
      </w:r>
      <w:r>
        <w:rPr>
          <w:rFonts w:hint="eastAsia" w:ascii="仿宋_GB2312" w:eastAsia="仿宋_GB2312"/>
          <w:sz w:val="32"/>
          <w:szCs w:val="32"/>
        </w:rPr>
        <w:t>、科技成果转化管理模式</w:t>
      </w:r>
      <w:r>
        <w:rPr>
          <w:rFonts w:hint="eastAsia" w:ascii="仿宋" w:hAnsi="仿宋" w:eastAsia="仿宋" w:cs="微软雅黑"/>
          <w:sz w:val="32"/>
          <w:szCs w:val="32"/>
        </w:rPr>
        <w:t>与机制</w:t>
      </w:r>
      <w:r>
        <w:rPr>
          <w:rFonts w:hint="eastAsia" w:ascii="仿宋_GB2312" w:eastAsia="仿宋_GB2312"/>
          <w:sz w:val="32"/>
          <w:szCs w:val="32"/>
        </w:rPr>
        <w:t>、知识产权保护管理</w:t>
      </w:r>
      <w:r>
        <w:rPr>
          <w:rFonts w:hint="eastAsia" w:ascii="仿宋" w:hAnsi="仿宋" w:eastAsia="仿宋" w:cs="微软雅黑"/>
          <w:sz w:val="32"/>
          <w:szCs w:val="32"/>
        </w:rPr>
        <w:t>模式与机制</w:t>
      </w:r>
      <w:r>
        <w:rPr>
          <w:rFonts w:hint="eastAsia" w:ascii="仿宋" w:hAnsi="仿宋" w:eastAsia="仿宋"/>
          <w:sz w:val="32"/>
          <w:szCs w:val="32"/>
        </w:rPr>
        <w:t>、</w:t>
      </w:r>
      <w:r>
        <w:rPr>
          <w:rFonts w:hint="eastAsia" w:ascii="仿宋_GB2312" w:eastAsia="仿宋_GB2312"/>
          <w:sz w:val="32"/>
          <w:szCs w:val="32"/>
        </w:rPr>
        <w:t>产学研</w:t>
      </w:r>
      <w:r>
        <w:rPr>
          <w:rFonts w:hint="eastAsia" w:ascii="仿宋" w:hAnsi="仿宋" w:eastAsia="仿宋" w:cs="微软雅黑"/>
          <w:sz w:val="32"/>
          <w:szCs w:val="32"/>
        </w:rPr>
        <w:t>用</w:t>
      </w:r>
      <w:r>
        <w:rPr>
          <w:rFonts w:hint="eastAsia" w:ascii="仿宋_GB2312" w:eastAsia="仿宋_GB2312"/>
          <w:sz w:val="32"/>
          <w:szCs w:val="32"/>
        </w:rPr>
        <w:t>合作模式，</w:t>
      </w:r>
      <w:r>
        <w:rPr>
          <w:rFonts w:hint="eastAsia" w:ascii="仿宋" w:hAnsi="仿宋" w:eastAsia="仿宋" w:cs="微软雅黑"/>
          <w:sz w:val="32"/>
          <w:szCs w:val="32"/>
        </w:rPr>
        <w:t>以</w:t>
      </w:r>
      <w:r>
        <w:rPr>
          <w:rFonts w:hint="eastAsia" w:ascii="仿宋_GB2312" w:eastAsia="仿宋_GB2312"/>
          <w:sz w:val="32"/>
          <w:szCs w:val="32"/>
        </w:rPr>
        <w:t>及科技创新管理其他方面的管理成果。</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申报成果应具备创新性、科学性、可行性、效益性、可持续性、推广性。</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_GB2312" w:eastAsia="仿宋_GB2312"/>
          <w:sz w:val="32"/>
          <w:szCs w:val="32"/>
        </w:rPr>
        <w:t>企业科技创新管理成果</w:t>
      </w:r>
      <w:r>
        <w:rPr>
          <w:rFonts w:hint="eastAsia" w:ascii="仿宋" w:hAnsi="仿宋" w:eastAsia="仿宋" w:cs="仿宋"/>
          <w:sz w:val="32"/>
          <w:szCs w:val="32"/>
        </w:rPr>
        <w:t>的申报、遴选和推广，遵循客观、科学、公开、公正的原则。</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中国施工企业管理协会科学技术委员会（以下简称中施企协科委）负责</w:t>
      </w:r>
      <w:r>
        <w:rPr>
          <w:rFonts w:hint="eastAsia" w:ascii="仿宋_GB2312" w:eastAsia="仿宋_GB2312"/>
          <w:sz w:val="32"/>
          <w:szCs w:val="32"/>
        </w:rPr>
        <w:t>企业科技创新管理成果</w:t>
      </w:r>
      <w:r>
        <w:rPr>
          <w:rFonts w:hint="eastAsia" w:ascii="仿宋" w:hAnsi="仿宋" w:eastAsia="仿宋" w:cs="仿宋"/>
          <w:sz w:val="32"/>
          <w:szCs w:val="32"/>
        </w:rPr>
        <w:t>的征集工作，科委办公室负责具体组织实施。</w:t>
      </w:r>
    </w:p>
    <w:p>
      <w:pPr>
        <w:adjustRightInd w:val="0"/>
        <w:snapToGrid w:val="0"/>
        <w:spacing w:line="560" w:lineRule="exact"/>
        <w:jc w:val="center"/>
        <w:rPr>
          <w:rFonts w:ascii="黑体" w:hAnsi="黑体" w:eastAsia="黑体"/>
          <w:color w:val="000000"/>
          <w:sz w:val="32"/>
          <w:szCs w:val="32"/>
        </w:rPr>
      </w:pPr>
      <w:r>
        <w:rPr>
          <w:rFonts w:hint="eastAsia" w:ascii="黑体" w:hAnsi="黑体" w:eastAsia="黑体"/>
          <w:color w:val="000000"/>
          <w:sz w:val="32"/>
          <w:szCs w:val="32"/>
        </w:rPr>
        <w:t>第二章  成果</w:t>
      </w:r>
      <w:r>
        <w:rPr>
          <w:rFonts w:hint="eastAsia" w:ascii="黑体" w:hAnsi="黑体" w:eastAsia="黑体" w:cs="黑体"/>
          <w:sz w:val="32"/>
          <w:szCs w:val="32"/>
        </w:rPr>
        <w:t>申报</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申报科技创新管理成果应至少具备以下条件之一：</w:t>
      </w:r>
    </w:p>
    <w:p>
      <w:pPr>
        <w:numPr>
          <w:ilvl w:val="0"/>
          <w:numId w:val="2"/>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在创新管理研究领域有创新性的学术成果，其成果在国内外产生了一定影响；</w:t>
      </w:r>
    </w:p>
    <w:p>
      <w:pPr>
        <w:numPr>
          <w:ilvl w:val="0"/>
          <w:numId w:val="2"/>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在管理实践活动中取得了突出成效，具有显著的经济或社会效益，有较强的示范带动作用。</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申报成果需经各行业工程建设协会、各省（自治区、直辖市、计划单列市）建筑业（工程建设）协会（施工行业协会、联合会）推荐。国务院国资委监督管理的中央企业由集团公司总部负责组织推荐。</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申报单位应认真填写《工程建设企业科技创新管理成果申报书》，确保内容真实、有效、可靠，并提交相应旁证材料。</w:t>
      </w:r>
    </w:p>
    <w:p>
      <w:pPr>
        <w:adjustRightInd w:val="0"/>
        <w:snapToGrid w:val="0"/>
        <w:spacing w:line="600" w:lineRule="exact"/>
        <w:jc w:val="center"/>
        <w:rPr>
          <w:rFonts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三</w:t>
      </w:r>
      <w:r>
        <w:rPr>
          <w:rFonts w:hint="eastAsia" w:ascii="黑体" w:hAnsi="黑体" w:eastAsia="黑体" w:cs="黑体"/>
          <w:sz w:val="32"/>
          <w:szCs w:val="32"/>
        </w:rPr>
        <w:t>章 成果评审</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科委邀请有关专家组成评审委员会，对成果的创新性、科学性、可行性、效益性、可持续性、推广性等进行综合评审。</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企业科技创新管理成果等级分为一等成果、二等成果、三等成果。一等成果原则上不超过申报总数的10%。</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科委办公室负责对成果申报材料进行形式审查。不符合条件者，不参与后续程序的评审。</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企业科技创新管理成果的评审标准如下：</w:t>
      </w:r>
    </w:p>
    <w:p>
      <w:pPr>
        <w:adjustRightInd w:val="0"/>
        <w:snapToGrid w:val="0"/>
        <w:spacing w:line="600" w:lineRule="exact"/>
        <w:ind w:firstLine="643" w:firstLineChars="200"/>
        <w:rPr>
          <w:rFonts w:ascii="仿宋" w:hAnsi="仿宋" w:eastAsia="仿宋" w:cs="仿宋"/>
          <w:sz w:val="32"/>
          <w:szCs w:val="32"/>
        </w:rPr>
      </w:pPr>
      <w:r>
        <w:rPr>
          <w:rFonts w:hint="eastAsia" w:ascii="仿宋" w:hAnsi="仿宋" w:eastAsia="仿宋" w:cs="仿宋"/>
          <w:b/>
          <w:bCs/>
          <w:sz w:val="32"/>
          <w:szCs w:val="32"/>
        </w:rPr>
        <w:t>一等成果：创新程度显著</w:t>
      </w:r>
      <w:r>
        <w:rPr>
          <w:rFonts w:hint="eastAsia" w:ascii="仿宋" w:hAnsi="仿宋" w:eastAsia="仿宋" w:cs="仿宋"/>
          <w:sz w:val="32"/>
          <w:szCs w:val="32"/>
        </w:rPr>
        <w:t>，对企业科技创新管理水平有非常大的提高</w:t>
      </w:r>
      <w:r>
        <w:rPr>
          <w:rFonts w:hint="eastAsia" w:ascii="仿宋" w:hAnsi="仿宋" w:eastAsia="仿宋" w:cs="仿宋"/>
          <w:b/>
          <w:bCs/>
          <w:sz w:val="32"/>
          <w:szCs w:val="32"/>
        </w:rPr>
        <w:t>，</w:t>
      </w:r>
      <w:r>
        <w:rPr>
          <w:rFonts w:hint="eastAsia" w:ascii="仿宋" w:hAnsi="仿宋" w:eastAsia="仿宋" w:cs="仿宋"/>
          <w:sz w:val="32"/>
          <w:szCs w:val="32"/>
        </w:rPr>
        <w:t>在企业内得到了广泛的推广应用，大幅度提高了企业的科技创新管理质量和效率，创造了显著的经济和社会效益，具有非常高的推广价值。</w:t>
      </w:r>
    </w:p>
    <w:p>
      <w:pPr>
        <w:adjustRightInd w:val="0"/>
        <w:snapToGrid w:val="0"/>
        <w:spacing w:line="600" w:lineRule="exact"/>
        <w:ind w:firstLine="643" w:firstLineChars="200"/>
        <w:rPr>
          <w:rFonts w:ascii="仿宋" w:hAnsi="仿宋" w:eastAsia="仿宋" w:cs="仿宋"/>
          <w:sz w:val="32"/>
          <w:szCs w:val="32"/>
        </w:rPr>
      </w:pPr>
      <w:r>
        <w:rPr>
          <w:rFonts w:hint="eastAsia" w:ascii="仿宋" w:hAnsi="仿宋" w:eastAsia="仿宋" w:cs="仿宋"/>
          <w:b/>
          <w:bCs/>
          <w:sz w:val="32"/>
          <w:szCs w:val="32"/>
        </w:rPr>
        <w:t>二等成果：创新程度明显</w:t>
      </w:r>
      <w:r>
        <w:rPr>
          <w:rFonts w:hint="eastAsia" w:ascii="仿宋" w:hAnsi="仿宋" w:eastAsia="仿宋" w:cs="仿宋"/>
          <w:sz w:val="32"/>
          <w:szCs w:val="32"/>
        </w:rPr>
        <w:t>，对企业的科技创新管理水平有较大的提升作用</w:t>
      </w:r>
      <w:r>
        <w:rPr>
          <w:rFonts w:hint="eastAsia" w:ascii="仿宋" w:hAnsi="仿宋" w:eastAsia="仿宋" w:cs="仿宋"/>
          <w:b/>
          <w:bCs/>
          <w:sz w:val="32"/>
          <w:szCs w:val="32"/>
        </w:rPr>
        <w:t>，</w:t>
      </w:r>
      <w:r>
        <w:rPr>
          <w:rFonts w:hint="eastAsia" w:ascii="仿宋" w:hAnsi="仿宋" w:eastAsia="仿宋" w:cs="仿宋"/>
          <w:sz w:val="32"/>
          <w:szCs w:val="32"/>
        </w:rPr>
        <w:t>在企业内得到了有效的应用验证，明显提高了企业的科技创新管理质量和效率，创造了明显的经济社会效益，具有较高的推广价值。</w:t>
      </w:r>
    </w:p>
    <w:p>
      <w:pPr>
        <w:adjustRightInd w:val="0"/>
        <w:snapToGrid w:val="0"/>
        <w:spacing w:line="600" w:lineRule="exact"/>
        <w:ind w:firstLine="643" w:firstLineChars="200"/>
        <w:rPr>
          <w:rFonts w:ascii="仿宋" w:hAnsi="仿宋" w:eastAsia="仿宋" w:cs="仿宋"/>
          <w:sz w:val="32"/>
          <w:szCs w:val="32"/>
        </w:rPr>
      </w:pPr>
      <w:r>
        <w:rPr>
          <w:rFonts w:hint="eastAsia" w:ascii="仿宋" w:hAnsi="仿宋" w:eastAsia="仿宋" w:cs="仿宋"/>
          <w:b/>
          <w:bCs/>
          <w:sz w:val="32"/>
          <w:szCs w:val="32"/>
        </w:rPr>
        <w:t>三等成果：有一定创新性，</w:t>
      </w:r>
      <w:r>
        <w:rPr>
          <w:rFonts w:hint="eastAsia" w:ascii="仿宋" w:hAnsi="仿宋" w:eastAsia="仿宋" w:cs="仿宋"/>
          <w:sz w:val="32"/>
          <w:szCs w:val="32"/>
        </w:rPr>
        <w:t>对提升企业科技创新管理水平有积极作用，在企业内已得到了初步应用，并取得良好效果，对同类企业具有积极的引导性借鉴意义，</w:t>
      </w:r>
    </w:p>
    <w:p>
      <w:pPr>
        <w:adjustRightInd w:val="0"/>
        <w:snapToGrid w:val="0"/>
        <w:spacing w:line="600" w:lineRule="exact"/>
        <w:jc w:val="center"/>
        <w:rPr>
          <w:rFonts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四</w:t>
      </w:r>
      <w:r>
        <w:rPr>
          <w:rFonts w:hint="eastAsia" w:ascii="黑体" w:hAnsi="黑体" w:eastAsia="黑体" w:cs="黑体"/>
          <w:sz w:val="32"/>
          <w:szCs w:val="32"/>
        </w:rPr>
        <w:t>章 推广应用</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申报单位应积极推动科技创新管理成果的实践应用，并持续完善、优化和提高。</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中国施工企业管理协会科学技术委员会将适时组织研讨、交流、对标、观摩等活动，对企业科技创新管理成果进行宣传和推广。</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申报单位有义务配合、支持和参加中国施工企业管理协会科学技术委员会组织的宣传和推广活动。</w:t>
      </w:r>
    </w:p>
    <w:p>
      <w:pPr>
        <w:adjustRightInd w:val="0"/>
        <w:snapToGrid w:val="0"/>
        <w:spacing w:line="600" w:lineRule="exact"/>
        <w:jc w:val="center"/>
        <w:rPr>
          <w:rFonts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五</w:t>
      </w:r>
      <w:r>
        <w:rPr>
          <w:rFonts w:hint="eastAsia" w:ascii="黑体" w:hAnsi="黑体" w:eastAsia="黑体" w:cs="黑体"/>
          <w:sz w:val="32"/>
          <w:szCs w:val="32"/>
        </w:rPr>
        <w:t>章 附  则</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本办法由中国施工企业管理协会科学技术委员会负责解释。</w:t>
      </w:r>
    </w:p>
    <w:p>
      <w:pPr>
        <w:numPr>
          <w:ilvl w:val="0"/>
          <w:numId w:val="1"/>
        </w:num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本办法自印发之日起施行。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6135C17-485A-4B50-937B-6E375FE71BF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AA90A47B-5381-4360-83AF-A741153AA3AD}"/>
  </w:font>
  <w:font w:name="方正小标宋简体">
    <w:panose1 w:val="02000000000000000000"/>
    <w:charset w:val="86"/>
    <w:family w:val="script"/>
    <w:pitch w:val="default"/>
    <w:sig w:usb0="00000001" w:usb1="080E0000" w:usb2="00000000" w:usb3="00000000" w:csb0="00040000" w:csb1="00000000"/>
    <w:embedRegular r:id="rId3" w:fontKey="{605952A4-7230-45C8-B36B-47492FE69CD7}"/>
  </w:font>
  <w:font w:name="仿宋_GB2312">
    <w:panose1 w:val="02010609030101010101"/>
    <w:charset w:val="86"/>
    <w:family w:val="modern"/>
    <w:pitch w:val="default"/>
    <w:sig w:usb0="00000001" w:usb1="080E0000" w:usb2="00000000" w:usb3="00000000" w:csb0="00040000" w:csb1="00000000"/>
    <w:embedRegular r:id="rId4" w:fontKey="{6253D18A-C539-4A19-B4BD-A1C52190C81B}"/>
  </w:font>
  <w:font w:name="仿宋">
    <w:panose1 w:val="02010609060101010101"/>
    <w:charset w:val="86"/>
    <w:family w:val="modern"/>
    <w:pitch w:val="default"/>
    <w:sig w:usb0="800002BF" w:usb1="38CF7CFA" w:usb2="00000016" w:usb3="00000000" w:csb0="00040001" w:csb1="00000000"/>
    <w:embedRegular r:id="rId5" w:fontKey="{1139F3EA-6442-4342-AAF1-CBC2DF3D2D71}"/>
  </w:font>
  <w:font w:name="微软雅黑">
    <w:panose1 w:val="020B0503020204020204"/>
    <w:charset w:val="86"/>
    <w:family w:val="swiss"/>
    <w:pitch w:val="default"/>
    <w:sig w:usb0="80000287" w:usb1="2ACF3C50" w:usb2="00000016" w:usb3="00000000" w:csb0="0004001F" w:csb1="00000000"/>
    <w:embedRegular r:id="rId6" w:fontKey="{3E184750-6116-4C26-845B-571C2E0735E3}"/>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25A5DC"/>
    <w:multiLevelType w:val="singleLevel"/>
    <w:tmpl w:val="C925A5DC"/>
    <w:lvl w:ilvl="0" w:tentative="0">
      <w:start w:val="1"/>
      <w:numFmt w:val="chineseCounting"/>
      <w:suff w:val="space"/>
      <w:lvlText w:val="第%1条"/>
      <w:lvlJc w:val="left"/>
      <w:rPr>
        <w:rFonts w:hint="eastAsia" w:ascii="仿宋_GB2312" w:hAnsi="仿宋_GB2312" w:eastAsia="仿宋_GB2312" w:cs="仿宋_GB2312"/>
        <w:b/>
        <w:bCs/>
      </w:rPr>
    </w:lvl>
  </w:abstractNum>
  <w:abstractNum w:abstractNumId="1">
    <w:nsid w:val="21383D2E"/>
    <w:multiLevelType w:val="singleLevel"/>
    <w:tmpl w:val="21383D2E"/>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xYTMzNjFmMDg0MWVhMzE0MDA2ODdjYjBkZWFiNWUifQ=="/>
  </w:docVars>
  <w:rsids>
    <w:rsidRoot w:val="425C2DBA"/>
    <w:rsid w:val="425C2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2023-12-26T02:03:00Z</dcterms:created>
  <dc:creator>李朝旭</dc:creator>
  <cp:lastModifiedBy>李朝旭</cp:lastModifiedBy>
  <dcterms:modified xsi:type="dcterms:W3CDTF">2023-12-26T02:03:39Z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30AF8DE197E847FC91104D998629C558_11</vt:lpwstr>
  </property>
</Properties>
</file>