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公文小标宋" w:hAnsi="方正公文小标宋" w:eastAsia="方正公文小标宋" w:cs="方正公文小标宋"/>
          <w:spacing w:val="1"/>
          <w:sz w:val="44"/>
          <w:szCs w:val="44"/>
        </w:rPr>
      </w:pPr>
      <w:r>
        <w:rPr>
          <w:rFonts w:hint="eastAsia" w:ascii="黑体" w:hAnsi="黑体" w:eastAsia="黑体" w:cs="黑体"/>
          <w:color w:val="000000"/>
          <w:sz w:val="32"/>
          <w:szCs w:val="32"/>
        </w:rPr>
        <w:t>附件1</w:t>
      </w:r>
    </w:p>
    <w:p>
      <w:pPr>
        <w:widowControl/>
        <w:kinsoku w:val="0"/>
        <w:autoSpaceDE w:val="0"/>
        <w:autoSpaceDN w:val="0"/>
        <w:adjustRightInd w:val="0"/>
        <w:snapToGrid w:val="0"/>
        <w:spacing w:line="600" w:lineRule="exact"/>
        <w:jc w:val="center"/>
        <w:textAlignment w:val="baseline"/>
        <w:rPr>
          <w:rFonts w:ascii="方正公文小标宋" w:hAnsi="方正公文小标宋" w:eastAsia="方正公文小标宋" w:cs="方正公文小标宋"/>
          <w:spacing w:val="1"/>
          <w:sz w:val="44"/>
          <w:szCs w:val="44"/>
        </w:rPr>
      </w:pPr>
      <w:r>
        <w:rPr>
          <w:rFonts w:hint="eastAsia" w:ascii="方正公文小标宋" w:hAnsi="方正公文小标宋" w:eastAsia="方正公文小标宋" w:cs="方正公文小标宋"/>
          <w:spacing w:val="1"/>
          <w:sz w:val="44"/>
          <w:szCs w:val="44"/>
        </w:rPr>
        <w:t>工程建设企业“青年科技创新大赛</w:t>
      </w:r>
      <w:r>
        <w:rPr>
          <w:rFonts w:hint="eastAsia" w:cs="宋体" w:asciiTheme="majorEastAsia" w:hAnsiTheme="majorEastAsia" w:eastAsiaTheme="majorEastAsia"/>
          <w:b/>
          <w:bCs/>
          <w:spacing w:val="1"/>
          <w:sz w:val="44"/>
          <w:szCs w:val="44"/>
        </w:rPr>
        <w:t>”</w:t>
      </w:r>
    </w:p>
    <w:p>
      <w:pPr>
        <w:widowControl/>
        <w:kinsoku w:val="0"/>
        <w:autoSpaceDE w:val="0"/>
        <w:autoSpaceDN w:val="0"/>
        <w:adjustRightInd w:val="0"/>
        <w:snapToGrid w:val="0"/>
        <w:spacing w:line="600" w:lineRule="exact"/>
        <w:jc w:val="center"/>
        <w:textAlignment w:val="baseline"/>
        <w:rPr>
          <w:rFonts w:ascii="方正公文小标宋" w:hAnsi="方正公文小标宋" w:eastAsia="方正公文小标宋" w:cs="方正公文小标宋"/>
          <w:spacing w:val="1"/>
          <w:sz w:val="44"/>
          <w:szCs w:val="44"/>
        </w:rPr>
      </w:pPr>
      <w:r>
        <w:rPr>
          <w:rFonts w:hint="eastAsia" w:ascii="方正公文小标宋" w:hAnsi="方正公文小标宋" w:eastAsia="方正公文小标宋" w:cs="方正公文小标宋"/>
          <w:spacing w:val="1"/>
          <w:sz w:val="44"/>
          <w:szCs w:val="44"/>
        </w:rPr>
        <w:t>管理办法</w:t>
      </w:r>
    </w:p>
    <w:p>
      <w:pPr>
        <w:widowControl/>
        <w:kinsoku w:val="0"/>
        <w:autoSpaceDE w:val="0"/>
        <w:autoSpaceDN w:val="0"/>
        <w:adjustRightInd w:val="0"/>
        <w:snapToGrid w:val="0"/>
        <w:spacing w:line="600" w:lineRule="exact"/>
        <w:jc w:val="center"/>
        <w:textAlignment w:val="baseline"/>
        <w:rPr>
          <w:rFonts w:ascii="楷体" w:hAnsi="楷体" w:eastAsia="楷体" w:cs="楷体"/>
          <w:sz w:val="32"/>
          <w:szCs w:val="32"/>
        </w:rPr>
      </w:pPr>
      <w:r>
        <w:rPr>
          <w:rFonts w:hint="eastAsia" w:ascii="楷体" w:hAnsi="楷体" w:eastAsia="楷体" w:cs="楷体"/>
          <w:spacing w:val="1"/>
          <w:sz w:val="32"/>
          <w:szCs w:val="32"/>
        </w:rPr>
        <w:t>（试行）</w:t>
      </w:r>
    </w:p>
    <w:p>
      <w:pPr>
        <w:widowControl/>
        <w:kinsoku w:val="0"/>
        <w:autoSpaceDE w:val="0"/>
        <w:autoSpaceDN w:val="0"/>
        <w:adjustRightInd w:val="0"/>
        <w:snapToGrid w:val="0"/>
        <w:spacing w:before="120" w:beforeLines="50" w:after="120" w:afterLines="50" w:line="560" w:lineRule="exact"/>
        <w:jc w:val="center"/>
        <w:textAlignment w:val="baseline"/>
        <w:rPr>
          <w:rFonts w:ascii="黑体" w:hAnsi="黑体" w:eastAsia="黑体" w:cs="黑体"/>
          <w:b/>
          <w:bCs/>
          <w:snapToGrid w:val="0"/>
          <w:color w:val="000000"/>
          <w:spacing w:val="15"/>
          <w:kern w:val="0"/>
          <w:sz w:val="30"/>
          <w:szCs w:val="30"/>
        </w:rPr>
      </w:pPr>
      <w:r>
        <w:rPr>
          <w:rFonts w:hint="eastAsia" w:ascii="黑体" w:hAnsi="黑体" w:eastAsia="黑体" w:cs="黑体"/>
          <w:b/>
          <w:bCs/>
          <w:snapToGrid w:val="0"/>
          <w:color w:val="000000"/>
          <w:spacing w:val="15"/>
          <w:kern w:val="0"/>
          <w:sz w:val="30"/>
          <w:szCs w:val="30"/>
        </w:rPr>
        <w:t>第一章  总  则</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第一条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为深入贯彻党的二十大精神，落实中央人才工作会议部署，促进工程建设行业新质生产力发展，激发工程建设企业广大青年干部职工创新活力，培养和造就规模宏大的工程建设青年科技人才队伍，规范协会“青年科技创新大赛”</w:t>
      </w:r>
      <w:r>
        <w:rPr>
          <w:rFonts w:hint="eastAsia" w:ascii="仿宋_GB2312" w:hAnsi="仿宋_GB2312" w:eastAsia="仿宋_GB2312" w:cs="仿宋_GB2312"/>
          <w:sz w:val="32"/>
          <w:szCs w:val="32"/>
        </w:rPr>
        <w:t>（以下简称“大赛”）</w:t>
      </w:r>
      <w:r>
        <w:rPr>
          <w:rFonts w:hint="eastAsia" w:ascii="仿宋_GB2312" w:hAnsi="仿宋_GB2312" w:eastAsia="仿宋_GB2312" w:cs="仿宋_GB2312"/>
          <w:spacing w:val="11"/>
          <w:sz w:val="32"/>
          <w:szCs w:val="32"/>
        </w:rPr>
        <w:t>的组织和管理，特制定本办法。</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第二条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大赛以“培育新质生产力，发现培养青年科技人才，厚植行业创新生态、提升产业创新能力”为宗旨，坚持公益办赛。</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第三条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大赛坚持“公平、公开、公正”和“优中选优”的评审原则。</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第四条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大赛每年举办一次。</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第五条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中国施工企业管理协会科学技术委员会负责大赛的组织管理工作。科委办公室负责组织实施。</w:t>
      </w:r>
    </w:p>
    <w:p>
      <w:pPr>
        <w:widowControl/>
        <w:kinsoku w:val="0"/>
        <w:autoSpaceDE w:val="0"/>
        <w:autoSpaceDN w:val="0"/>
        <w:adjustRightInd w:val="0"/>
        <w:snapToGrid w:val="0"/>
        <w:spacing w:before="120" w:beforeLines="50" w:after="120" w:afterLines="50" w:line="560" w:lineRule="exact"/>
        <w:jc w:val="center"/>
        <w:textAlignment w:val="baseline"/>
        <w:rPr>
          <w:rFonts w:ascii="黑体" w:hAnsi="黑体" w:eastAsia="黑体" w:cs="黑体"/>
          <w:b/>
          <w:bCs/>
          <w:snapToGrid w:val="0"/>
          <w:color w:val="000000"/>
          <w:spacing w:val="15"/>
          <w:kern w:val="0"/>
          <w:sz w:val="30"/>
          <w:szCs w:val="30"/>
        </w:rPr>
      </w:pPr>
      <w:r>
        <w:rPr>
          <w:rFonts w:hint="eastAsia" w:ascii="黑体" w:hAnsi="黑体" w:eastAsia="黑体" w:cs="黑体"/>
          <w:b/>
          <w:bCs/>
          <w:snapToGrid w:val="0"/>
          <w:color w:val="000000"/>
          <w:spacing w:val="15"/>
          <w:kern w:val="0"/>
          <w:sz w:val="30"/>
          <w:szCs w:val="30"/>
        </w:rPr>
        <w:t>第二章  参赛条件</w:t>
      </w:r>
    </w:p>
    <w:p>
      <w:pPr>
        <w:widowControl/>
        <w:kinsoku w:val="0"/>
        <w:autoSpaceDE w:val="0"/>
        <w:autoSpaceDN w:val="0"/>
        <w:adjustRightInd w:val="0"/>
        <w:snapToGrid w:val="0"/>
        <w:spacing w:line="560" w:lineRule="exact"/>
        <w:ind w:firstLine="684" w:firstLineChars="200"/>
        <w:textAlignment w:val="baseline"/>
        <w:rPr>
          <w:rFonts w:ascii="黑体" w:hAnsi="黑体" w:eastAsia="黑体" w:cs="黑体"/>
          <w:spacing w:val="11"/>
          <w:sz w:val="32"/>
          <w:szCs w:val="32"/>
        </w:rPr>
      </w:pPr>
      <w:r>
        <w:rPr>
          <w:rFonts w:hint="eastAsia" w:ascii="黑体" w:hAnsi="黑体" w:eastAsia="黑体" w:cs="黑体"/>
          <w:spacing w:val="11"/>
          <w:sz w:val="32"/>
          <w:szCs w:val="32"/>
        </w:rPr>
        <w:t>第六条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参赛项目的完成人应主要来自工程建设企业，且第一完成人年龄不超过38周岁。</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第七条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参赛项目包括创新应用类和创意探索类，且应符合以下条件：</w:t>
      </w:r>
    </w:p>
    <w:p>
      <w:pPr>
        <w:widowControl/>
        <w:kinsoku w:val="0"/>
        <w:autoSpaceDE w:val="0"/>
        <w:autoSpaceDN w:val="0"/>
        <w:adjustRightInd w:val="0"/>
        <w:snapToGrid w:val="0"/>
        <w:spacing w:line="560" w:lineRule="exact"/>
        <w:ind w:firstLine="687" w:firstLineChars="200"/>
        <w:textAlignment w:val="baseline"/>
        <w:rPr>
          <w:rFonts w:ascii="仿宋" w:hAnsi="仿宋" w:eastAsia="仿宋" w:cs="仿宋"/>
          <w:spacing w:val="11"/>
          <w:sz w:val="32"/>
          <w:szCs w:val="32"/>
        </w:rPr>
      </w:pPr>
      <w:r>
        <w:rPr>
          <w:rFonts w:hint="eastAsia" w:ascii="仿宋" w:hAnsi="仿宋" w:eastAsia="仿宋" w:cs="仿宋"/>
          <w:b/>
          <w:bCs/>
          <w:spacing w:val="11"/>
          <w:sz w:val="32"/>
          <w:szCs w:val="32"/>
        </w:rPr>
        <w:t>（一）创新应用类：</w:t>
      </w:r>
      <w:r>
        <w:rPr>
          <w:rFonts w:hint="eastAsia" w:ascii="仿宋_GB2312" w:hAnsi="仿宋_GB2312" w:eastAsia="仿宋_GB2312" w:cs="仿宋_GB2312"/>
          <w:spacing w:val="11"/>
          <w:sz w:val="32"/>
          <w:szCs w:val="32"/>
        </w:rPr>
        <w:t>直接面向市场应用，聚焦国家和行业倡导的技术创新方向，整体达到国内先进水平的科技创新成果。参赛项目应具备创新性和实用性，技术总体成熟且拥有自主知识产权，市场推广应用前景广阔，推动企业技术进步和工程建造水平提升的作用明显。</w:t>
      </w:r>
    </w:p>
    <w:p>
      <w:pPr>
        <w:widowControl/>
        <w:kinsoku w:val="0"/>
        <w:autoSpaceDE w:val="0"/>
        <w:autoSpaceDN w:val="0"/>
        <w:adjustRightInd w:val="0"/>
        <w:snapToGrid w:val="0"/>
        <w:spacing w:line="560" w:lineRule="exact"/>
        <w:ind w:firstLine="687" w:firstLineChars="200"/>
        <w:textAlignment w:val="baseline"/>
        <w:rPr>
          <w:rFonts w:ascii="仿宋" w:hAnsi="仿宋" w:eastAsia="仿宋" w:cs="仿宋"/>
          <w:spacing w:val="11"/>
          <w:sz w:val="32"/>
          <w:szCs w:val="32"/>
        </w:rPr>
      </w:pPr>
      <w:r>
        <w:rPr>
          <w:rFonts w:hint="eastAsia" w:ascii="仿宋" w:hAnsi="仿宋" w:eastAsia="仿宋" w:cs="仿宋"/>
          <w:b/>
          <w:bCs/>
          <w:spacing w:val="11"/>
          <w:sz w:val="32"/>
          <w:szCs w:val="32"/>
        </w:rPr>
        <w:t>（二）创意探索类：</w:t>
      </w:r>
      <w:r>
        <w:rPr>
          <w:rFonts w:hint="eastAsia" w:ascii="仿宋_GB2312" w:hAnsi="仿宋_GB2312" w:eastAsia="仿宋_GB2312" w:cs="仿宋_GB2312"/>
          <w:spacing w:val="11"/>
          <w:sz w:val="32"/>
          <w:szCs w:val="32"/>
        </w:rPr>
        <w:t>基于引领产业发展的新概念、新原理、新方法，能够突破传统思维模式，提供全新的视角和解决方案的思想创意。不苛求已经形成成熟的技术成果。参赛创意应符合国家和行业发展需要，能够创造新产业、新模式、新赛道或解决实际问题，具有可操作性和可实现性。</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第八条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每项参赛项目应由一家主要完成单位牵头组织申报工作，且为独立法人单位。主要完成单位数量不超过</w:t>
      </w:r>
      <w:r>
        <w:rPr>
          <w:rFonts w:hint="eastAsia" w:ascii="仿宋_GB2312" w:hAnsi="仿宋_GB2312" w:eastAsia="仿宋_GB2312" w:cs="仿宋_GB2312"/>
          <w:spacing w:val="11"/>
          <w:sz w:val="32"/>
          <w:szCs w:val="32"/>
          <w:lang w:val="en-US" w:eastAsia="zh-CN"/>
        </w:rPr>
        <w:t>3</w:t>
      </w:r>
      <w:r>
        <w:rPr>
          <w:rFonts w:hint="eastAsia" w:ascii="仿宋_GB2312" w:hAnsi="仿宋_GB2312" w:eastAsia="仿宋_GB2312" w:cs="仿宋_GB2312"/>
          <w:spacing w:val="11"/>
          <w:sz w:val="32"/>
          <w:szCs w:val="32"/>
        </w:rPr>
        <w:t>家，主要完成人数量不超过</w:t>
      </w:r>
      <w:r>
        <w:rPr>
          <w:rFonts w:hint="eastAsia" w:ascii="仿宋_GB2312" w:hAnsi="仿宋_GB2312" w:eastAsia="仿宋_GB2312" w:cs="仿宋_GB2312"/>
          <w:spacing w:val="11"/>
          <w:sz w:val="32"/>
          <w:szCs w:val="32"/>
          <w:lang w:val="en-US" w:eastAsia="zh-CN"/>
        </w:rPr>
        <w:t>10</w:t>
      </w:r>
      <w:r>
        <w:rPr>
          <w:rFonts w:hint="eastAsia" w:ascii="仿宋_GB2312" w:hAnsi="仿宋_GB2312" w:eastAsia="仿宋_GB2312" w:cs="仿宋_GB2312"/>
          <w:spacing w:val="11"/>
          <w:sz w:val="32"/>
          <w:szCs w:val="32"/>
        </w:rPr>
        <w:t>人。</w:t>
      </w:r>
    </w:p>
    <w:p>
      <w:pPr>
        <w:widowControl/>
        <w:kinsoku w:val="0"/>
        <w:autoSpaceDE w:val="0"/>
        <w:autoSpaceDN w:val="0"/>
        <w:adjustRightInd w:val="0"/>
        <w:snapToGrid w:val="0"/>
        <w:spacing w:line="560" w:lineRule="exact"/>
        <w:ind w:firstLine="684" w:firstLineChars="200"/>
        <w:textAlignment w:val="baseline"/>
        <w:rPr>
          <w:rFonts w:hint="eastAsia" w:ascii="仿宋_GB2312" w:hAnsi="仿宋_GB2312" w:eastAsia="仿宋_GB2312" w:cs="仿宋_GB2312"/>
          <w:spacing w:val="11"/>
          <w:sz w:val="32"/>
          <w:szCs w:val="32"/>
        </w:rPr>
      </w:pPr>
      <w:r>
        <w:rPr>
          <w:rFonts w:hint="eastAsia" w:ascii="黑体" w:hAnsi="黑体" w:eastAsia="黑体" w:cs="黑体"/>
          <w:spacing w:val="11"/>
          <w:sz w:val="32"/>
          <w:szCs w:val="32"/>
        </w:rPr>
        <w:t>第九条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参赛项目的技术、产品及相关专利等无产权纠纷。</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第十条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为强化大赛组织管理，增强工程建设行业青年人的创新意识和知识，科委办公室可以在大赛期间组织有关科技创新管理和工程建造技术的培训。</w:t>
      </w:r>
    </w:p>
    <w:p>
      <w:pPr>
        <w:widowControl/>
        <w:kinsoku w:val="0"/>
        <w:autoSpaceDE w:val="0"/>
        <w:autoSpaceDN w:val="0"/>
        <w:adjustRightInd w:val="0"/>
        <w:snapToGrid w:val="0"/>
        <w:spacing w:before="120" w:beforeLines="50" w:after="120" w:afterLines="50" w:line="560" w:lineRule="exact"/>
        <w:jc w:val="center"/>
        <w:textAlignment w:val="baseline"/>
        <w:rPr>
          <w:rFonts w:ascii="黑体" w:hAnsi="黑体" w:eastAsia="黑体" w:cs="黑体"/>
          <w:b/>
          <w:bCs/>
          <w:snapToGrid w:val="0"/>
          <w:color w:val="000000"/>
          <w:spacing w:val="15"/>
          <w:kern w:val="0"/>
          <w:sz w:val="30"/>
          <w:szCs w:val="30"/>
        </w:rPr>
      </w:pPr>
      <w:r>
        <w:rPr>
          <w:rFonts w:hint="eastAsia" w:ascii="黑体" w:hAnsi="黑体" w:eastAsia="黑体" w:cs="黑体"/>
          <w:b/>
          <w:bCs/>
          <w:snapToGrid w:val="0"/>
          <w:color w:val="000000"/>
          <w:spacing w:val="15"/>
          <w:kern w:val="0"/>
          <w:sz w:val="30"/>
          <w:szCs w:val="30"/>
        </w:rPr>
        <w:t>第三章  大赛报名</w:t>
      </w:r>
    </w:p>
    <w:p>
      <w:pPr>
        <w:adjustRightInd w:val="0"/>
        <w:snapToGrid w:val="0"/>
        <w:spacing w:line="560" w:lineRule="exact"/>
        <w:ind w:firstLine="684" w:firstLineChars="200"/>
        <w:rPr>
          <w:rFonts w:ascii="仿宋" w:hAnsi="仿宋" w:eastAsia="仿宋" w:cs="仿宋"/>
          <w:sz w:val="32"/>
          <w:szCs w:val="32"/>
        </w:rPr>
      </w:pPr>
      <w:r>
        <w:rPr>
          <w:rFonts w:hint="eastAsia" w:ascii="黑体" w:hAnsi="黑体" w:eastAsia="黑体" w:cs="黑体"/>
          <w:spacing w:val="11"/>
          <w:sz w:val="32"/>
          <w:szCs w:val="32"/>
        </w:rPr>
        <w:t>第十一条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大赛实行推荐制。参赛项目须经各行业工程建设协会、各省（自治区、直辖市、计划单列市）建筑业（工程建设）协会（联合会、施工行业协会）的推荐。国务院国资委监督管理的中央企业由集团公司总部负责组织推荐。</w:t>
      </w:r>
    </w:p>
    <w:p>
      <w:pPr>
        <w:wordWrap w:val="0"/>
        <w:adjustRightInd w:val="0"/>
        <w:snapToGrid w:val="0"/>
        <w:spacing w:line="560" w:lineRule="exact"/>
        <w:ind w:firstLine="684" w:firstLineChars="200"/>
        <w:rPr>
          <w:rFonts w:ascii="黑体" w:hAnsi="黑体" w:eastAsia="黑体" w:cs="黑体"/>
          <w:spacing w:val="11"/>
          <w:sz w:val="32"/>
          <w:szCs w:val="32"/>
        </w:rPr>
      </w:pPr>
      <w:r>
        <w:rPr>
          <w:rFonts w:ascii="黑体" w:hAnsi="黑体" w:eastAsia="黑体" w:cs="黑体"/>
          <w:spacing w:val="11"/>
          <w:sz w:val="32"/>
          <w:szCs w:val="32"/>
        </w:rPr>
        <w:t>第</w:t>
      </w:r>
      <w:r>
        <w:rPr>
          <w:rFonts w:hint="eastAsia" w:ascii="黑体" w:hAnsi="黑体" w:eastAsia="黑体" w:cs="黑体"/>
          <w:spacing w:val="11"/>
          <w:sz w:val="32"/>
          <w:szCs w:val="32"/>
        </w:rPr>
        <w:t>十二</w:t>
      </w:r>
      <w:r>
        <w:rPr>
          <w:rFonts w:ascii="黑体" w:hAnsi="黑体" w:eastAsia="黑体" w:cs="黑体"/>
          <w:spacing w:val="11"/>
          <w:sz w:val="32"/>
          <w:szCs w:val="32"/>
        </w:rPr>
        <w:t>条</w:t>
      </w:r>
      <w:r>
        <w:rPr>
          <w:rFonts w:hint="eastAsia" w:ascii="黑体" w:hAnsi="黑体" w:eastAsia="黑体" w:cs="黑体"/>
          <w:spacing w:val="11"/>
          <w:sz w:val="32"/>
          <w:szCs w:val="32"/>
        </w:rPr>
        <w:t xml:space="preserve">  </w:t>
      </w:r>
      <w:r>
        <w:rPr>
          <w:rFonts w:hint="eastAsia" w:ascii="仿宋_GB2312" w:hAnsi="仿宋_GB2312" w:eastAsia="仿宋_GB2312" w:cs="仿宋_GB2312"/>
          <w:spacing w:val="11"/>
          <w:sz w:val="32"/>
          <w:szCs w:val="32"/>
        </w:rPr>
        <w:t>采取在线报名的方式。参赛项目凭网络申报卡号和密码，登录中施企协科技工作综合业务管理平台（kj.cacem.com.cn），进行大赛报名和申报材料提交。</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第十三条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参赛项目应提供如下申报材料：</w:t>
      </w:r>
    </w:p>
    <w:p>
      <w:pPr>
        <w:widowControl/>
        <w:kinsoku w:val="0"/>
        <w:autoSpaceDE w:val="0"/>
        <w:autoSpaceDN w:val="0"/>
        <w:adjustRightInd w:val="0"/>
        <w:snapToGrid w:val="0"/>
        <w:spacing w:line="560" w:lineRule="exact"/>
        <w:ind w:firstLine="684" w:firstLineChars="200"/>
        <w:textAlignment w:val="baseline"/>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（一）申报表。参赛项目须认真填写《工程建设企业青年科技创新大赛申报表》，确保内容真实、有效、可靠。</w:t>
      </w:r>
    </w:p>
    <w:p>
      <w:pPr>
        <w:widowControl/>
        <w:kinsoku w:val="0"/>
        <w:autoSpaceDE w:val="0"/>
        <w:autoSpaceDN w:val="0"/>
        <w:adjustRightInd w:val="0"/>
        <w:snapToGrid w:val="0"/>
        <w:spacing w:line="560" w:lineRule="exact"/>
        <w:ind w:firstLine="684" w:firstLineChars="200"/>
        <w:textAlignment w:val="baseline"/>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（二）证明材料。第一完成人身份证明、知识产权证明、应用证明、经济效益证明等旁证材料。</w:t>
      </w:r>
    </w:p>
    <w:p>
      <w:pPr>
        <w:widowControl/>
        <w:kinsoku w:val="0"/>
        <w:autoSpaceDE w:val="0"/>
        <w:autoSpaceDN w:val="0"/>
        <w:adjustRightInd w:val="0"/>
        <w:snapToGrid w:val="0"/>
        <w:spacing w:before="120" w:beforeLines="50" w:after="120" w:afterLines="50" w:line="560" w:lineRule="exact"/>
        <w:jc w:val="center"/>
        <w:textAlignment w:val="baseline"/>
        <w:rPr>
          <w:rFonts w:ascii="黑体" w:hAnsi="黑体" w:eastAsia="黑体" w:cs="黑体"/>
          <w:b/>
          <w:bCs/>
          <w:snapToGrid w:val="0"/>
          <w:color w:val="000000"/>
          <w:spacing w:val="15"/>
          <w:kern w:val="0"/>
          <w:sz w:val="30"/>
          <w:szCs w:val="30"/>
        </w:rPr>
      </w:pPr>
      <w:r>
        <w:rPr>
          <w:rFonts w:hint="eastAsia" w:ascii="黑体" w:hAnsi="黑体" w:eastAsia="黑体" w:cs="黑体"/>
          <w:b/>
          <w:bCs/>
          <w:snapToGrid w:val="0"/>
          <w:color w:val="000000"/>
          <w:spacing w:val="15"/>
          <w:kern w:val="0"/>
          <w:sz w:val="30"/>
          <w:szCs w:val="30"/>
        </w:rPr>
        <w:t>第四章  大赛评审</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第十四条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邀请行业内有关组织的领导和协会科技专家组成大赛评审委员会。</w:t>
      </w:r>
    </w:p>
    <w:p>
      <w:pPr>
        <w:widowControl/>
        <w:kinsoku w:val="0"/>
        <w:autoSpaceDE w:val="0"/>
        <w:autoSpaceDN w:val="0"/>
        <w:adjustRightInd w:val="0"/>
        <w:snapToGrid w:val="0"/>
        <w:spacing w:line="560" w:lineRule="exact"/>
        <w:ind w:firstLine="684" w:firstLineChars="200"/>
        <w:textAlignment w:val="baseline"/>
        <w:rPr>
          <w:rFonts w:hint="eastAsia" w:ascii="仿宋_GB2312" w:hAnsi="仿宋_GB2312" w:eastAsia="仿宋_GB2312" w:cs="仿宋_GB2312"/>
          <w:spacing w:val="11"/>
          <w:sz w:val="32"/>
          <w:szCs w:val="32"/>
        </w:rPr>
      </w:pPr>
      <w:r>
        <w:rPr>
          <w:rFonts w:hint="eastAsia" w:ascii="黑体" w:hAnsi="黑体" w:eastAsia="黑体" w:cs="黑体"/>
          <w:spacing w:val="11"/>
          <w:sz w:val="32"/>
          <w:szCs w:val="32"/>
        </w:rPr>
        <w:t>第十五条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大赛设特等奖、一等奖、二等奖、三等奖和优胜奖。</w:t>
      </w:r>
      <w:r>
        <w:rPr>
          <w:rFonts w:hint="eastAsia" w:ascii="仿宋_GB2312" w:hAnsi="仿宋_GB2312" w:eastAsia="仿宋_GB2312" w:cs="仿宋_GB2312"/>
          <w:spacing w:val="11"/>
          <w:sz w:val="32"/>
          <w:szCs w:val="32"/>
          <w:lang w:val="en-US" w:eastAsia="zh-CN"/>
        </w:rPr>
        <w:t>其中，创意探索类不设奖项等级。</w:t>
      </w:r>
    </w:p>
    <w:p>
      <w:pPr>
        <w:widowControl/>
        <w:kinsoku w:val="0"/>
        <w:autoSpaceDE w:val="0"/>
        <w:autoSpaceDN w:val="0"/>
        <w:adjustRightInd w:val="0"/>
        <w:snapToGrid w:val="0"/>
        <w:spacing w:line="560" w:lineRule="exact"/>
        <w:ind w:firstLine="684" w:firstLineChars="200"/>
        <w:textAlignment w:val="baseline"/>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特等奖数量原则上不超过当年申报总数的2%，一等奖数量原则上不超过当年申报总数的8%。其他等级授奖数量根据当年参赛项目的数量和质量情况，由评审委员会确定授予比例。</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第十六条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评审程序：</w:t>
      </w:r>
    </w:p>
    <w:p>
      <w:pPr>
        <w:widowControl/>
        <w:kinsoku w:val="0"/>
        <w:autoSpaceDE w:val="0"/>
        <w:autoSpaceDN w:val="0"/>
        <w:adjustRightInd w:val="0"/>
        <w:snapToGrid w:val="0"/>
        <w:spacing w:line="560" w:lineRule="exact"/>
        <w:ind w:firstLine="687" w:firstLineChars="200"/>
        <w:textAlignment w:val="baseline"/>
        <w:rPr>
          <w:rFonts w:ascii="仿宋" w:hAnsi="仿宋" w:eastAsia="仿宋" w:cs="仿宋"/>
          <w:spacing w:val="11"/>
          <w:sz w:val="32"/>
          <w:szCs w:val="32"/>
        </w:rPr>
      </w:pPr>
      <w:r>
        <w:rPr>
          <w:rFonts w:hint="eastAsia" w:ascii="仿宋" w:hAnsi="仿宋" w:eastAsia="仿宋" w:cs="仿宋"/>
          <w:b/>
          <w:bCs/>
          <w:spacing w:val="11"/>
          <w:sz w:val="32"/>
          <w:szCs w:val="32"/>
        </w:rPr>
        <w:t>（一）</w:t>
      </w:r>
      <w:r>
        <w:rPr>
          <w:rFonts w:hint="eastAsia" w:ascii="仿宋" w:hAnsi="仿宋" w:eastAsia="仿宋" w:cs="仿宋"/>
          <w:b/>
          <w:bCs/>
          <w:spacing w:val="11"/>
          <w:sz w:val="32"/>
          <w:szCs w:val="32"/>
          <w:lang w:val="en-US" w:eastAsia="zh-CN"/>
        </w:rPr>
        <w:t>形审</w:t>
      </w:r>
      <w:r>
        <w:rPr>
          <w:rFonts w:hint="eastAsia" w:ascii="仿宋" w:hAnsi="仿宋" w:eastAsia="仿宋" w:cs="仿宋"/>
          <w:b/>
          <w:bCs/>
          <w:spacing w:val="11"/>
          <w:sz w:val="32"/>
          <w:szCs w:val="32"/>
        </w:rPr>
        <w:t>。</w:t>
      </w:r>
      <w:r>
        <w:rPr>
          <w:rFonts w:hint="eastAsia" w:ascii="仿宋_GB2312" w:hAnsi="仿宋_GB2312" w:eastAsia="仿宋_GB2312" w:cs="仿宋_GB2312"/>
          <w:spacing w:val="11"/>
          <w:sz w:val="32"/>
          <w:szCs w:val="32"/>
        </w:rPr>
        <w:t>由科委专家对参赛项目的申报材料进行形式审查，不符合条件的，不参与评审。</w:t>
      </w:r>
    </w:p>
    <w:p>
      <w:pPr>
        <w:adjustRightInd w:val="0"/>
        <w:snapToGrid w:val="0"/>
        <w:spacing w:line="560" w:lineRule="exact"/>
        <w:ind w:firstLine="687" w:firstLineChars="200"/>
        <w:rPr>
          <w:rFonts w:ascii="仿宋" w:hAnsi="仿宋" w:eastAsia="仿宋" w:cs="仿宋"/>
          <w:spacing w:val="11"/>
          <w:sz w:val="32"/>
          <w:szCs w:val="32"/>
        </w:rPr>
      </w:pPr>
      <w:r>
        <w:rPr>
          <w:rFonts w:hint="eastAsia" w:ascii="仿宋" w:hAnsi="仿宋" w:eastAsia="仿宋" w:cs="仿宋"/>
          <w:b/>
          <w:bCs/>
          <w:spacing w:val="11"/>
          <w:sz w:val="32"/>
          <w:szCs w:val="32"/>
        </w:rPr>
        <w:t>（二）初赛。</w:t>
      </w:r>
      <w:r>
        <w:rPr>
          <w:rFonts w:hint="eastAsia" w:ascii="仿宋_GB2312" w:hAnsi="仿宋_GB2312" w:eastAsia="仿宋_GB2312" w:cs="仿宋_GB2312"/>
          <w:spacing w:val="11"/>
          <w:sz w:val="32"/>
          <w:szCs w:val="32"/>
        </w:rPr>
        <w:t>从科技专家库中根据专业属性抽取专家组成若干评审小组，对参赛项目进行网络评审。根据网评结果，确定入围复赛的项目名单。</w:t>
      </w:r>
    </w:p>
    <w:p>
      <w:pPr>
        <w:widowControl/>
        <w:kinsoku w:val="0"/>
        <w:autoSpaceDE w:val="0"/>
        <w:autoSpaceDN w:val="0"/>
        <w:adjustRightInd w:val="0"/>
        <w:snapToGrid w:val="0"/>
        <w:spacing w:line="560" w:lineRule="exact"/>
        <w:ind w:firstLine="687" w:firstLineChars="200"/>
        <w:textAlignment w:val="baseline"/>
        <w:rPr>
          <w:rFonts w:ascii="仿宋" w:hAnsi="仿宋" w:eastAsia="仿宋" w:cs="仿宋"/>
          <w:spacing w:val="11"/>
          <w:sz w:val="32"/>
          <w:szCs w:val="32"/>
        </w:rPr>
      </w:pPr>
      <w:r>
        <w:rPr>
          <w:rFonts w:hint="eastAsia" w:ascii="仿宋" w:hAnsi="仿宋" w:eastAsia="仿宋" w:cs="仿宋"/>
          <w:b/>
          <w:bCs/>
          <w:spacing w:val="11"/>
          <w:sz w:val="32"/>
          <w:szCs w:val="32"/>
        </w:rPr>
        <w:t>（三）复赛。</w:t>
      </w:r>
      <w:r>
        <w:rPr>
          <w:rFonts w:hint="eastAsia" w:ascii="仿宋_GB2312" w:hAnsi="仿宋_GB2312" w:eastAsia="仿宋_GB2312" w:cs="仿宋_GB2312"/>
          <w:spacing w:val="11"/>
          <w:sz w:val="32"/>
          <w:szCs w:val="32"/>
        </w:rPr>
        <w:t>邀请科委科技专家，根据专业属性组成若干专业评审组，对进入复赛的项目进行专业评审，择优确定进入决赛的项目。</w:t>
      </w:r>
    </w:p>
    <w:p>
      <w:pPr>
        <w:widowControl/>
        <w:kinsoku w:val="0"/>
        <w:autoSpaceDE w:val="0"/>
        <w:autoSpaceDN w:val="0"/>
        <w:adjustRightInd w:val="0"/>
        <w:snapToGrid w:val="0"/>
        <w:spacing w:line="560" w:lineRule="exact"/>
        <w:ind w:firstLine="687" w:firstLineChars="200"/>
        <w:textAlignment w:val="baseline"/>
        <w:rPr>
          <w:rFonts w:ascii="仿宋" w:hAnsi="仿宋" w:eastAsia="仿宋" w:cs="仿宋"/>
          <w:spacing w:val="11"/>
          <w:sz w:val="32"/>
          <w:szCs w:val="32"/>
        </w:rPr>
      </w:pPr>
      <w:r>
        <w:rPr>
          <w:rFonts w:hint="eastAsia" w:ascii="仿宋" w:hAnsi="仿宋" w:eastAsia="仿宋" w:cs="仿宋"/>
          <w:b/>
          <w:bCs/>
          <w:spacing w:val="11"/>
          <w:sz w:val="32"/>
          <w:szCs w:val="32"/>
        </w:rPr>
        <w:t>（四）决赛。</w:t>
      </w:r>
      <w:r>
        <w:rPr>
          <w:rFonts w:hint="eastAsia" w:ascii="仿宋_GB2312" w:hAnsi="仿宋_GB2312" w:eastAsia="仿宋_GB2312" w:cs="仿宋_GB2312"/>
          <w:spacing w:val="11"/>
          <w:sz w:val="32"/>
          <w:szCs w:val="32"/>
        </w:rPr>
        <w:t>评审委员会对进入决赛的项目进行综合评审，最终评出大赛获奖名单。其中，特等奖项目需社会公众网络参与投票打分。</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第十七条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大赛获奖名单将在协会网站上向社会公示，公示期为5个工作日。</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第十八条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对获奖名单持有异议的单位或个人，须在公示期内，以书面形式向科委办公室投诉，逾期不予受理。提出投诉的单位需在投诉材料上加盖单位公章，注明联系人姓名和电话，否则不予受理；提出投诉的个人，须在投诉材料上注明投诉人的真实姓名、工作单位、联系电话、详细联系地址等信息并附身份证正反面复印件，否则不予受理。</w:t>
      </w:r>
    </w:p>
    <w:p>
      <w:pPr>
        <w:widowControl/>
        <w:kinsoku w:val="0"/>
        <w:autoSpaceDE w:val="0"/>
        <w:autoSpaceDN w:val="0"/>
        <w:adjustRightInd w:val="0"/>
        <w:snapToGrid w:val="0"/>
        <w:spacing w:before="120" w:beforeLines="50" w:after="120" w:afterLines="50" w:line="560" w:lineRule="exact"/>
        <w:jc w:val="center"/>
        <w:textAlignment w:val="baseline"/>
        <w:rPr>
          <w:rFonts w:ascii="黑体" w:hAnsi="黑体" w:eastAsia="黑体" w:cs="黑体"/>
          <w:b/>
          <w:bCs/>
          <w:snapToGrid w:val="0"/>
          <w:color w:val="000000"/>
          <w:spacing w:val="15"/>
          <w:kern w:val="0"/>
          <w:sz w:val="30"/>
          <w:szCs w:val="30"/>
        </w:rPr>
      </w:pPr>
      <w:r>
        <w:rPr>
          <w:rFonts w:hint="eastAsia" w:ascii="黑体" w:hAnsi="黑体" w:eastAsia="黑体" w:cs="黑体"/>
          <w:b/>
          <w:bCs/>
          <w:snapToGrid w:val="0"/>
          <w:color w:val="000000"/>
          <w:spacing w:val="15"/>
          <w:kern w:val="0"/>
          <w:sz w:val="30"/>
          <w:szCs w:val="30"/>
        </w:rPr>
        <w:t>第五章  授奖与纪律</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第十九条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由中国施工企业管理协会印发文件，在协会官网公布获奖名单，并向获奖项目颁发证书。</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 xml:space="preserve">第二十条 </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鼓励获奖者所在单位，对获奖青年科技人才给予一定精神或物质奖励。</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第二十一条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大赛建立科研诚信档案，获奖项目如有剽窃、弄虚作假等问题，经查实后予以撤销奖励，并在档案中记录失信行为。</w:t>
      </w:r>
    </w:p>
    <w:p>
      <w:pPr>
        <w:widowControl/>
        <w:kinsoku w:val="0"/>
        <w:autoSpaceDE w:val="0"/>
        <w:autoSpaceDN w:val="0"/>
        <w:adjustRightInd w:val="0"/>
        <w:snapToGrid w:val="0"/>
        <w:spacing w:before="120" w:beforeLines="50" w:after="120" w:afterLines="50" w:line="560" w:lineRule="exact"/>
        <w:jc w:val="center"/>
        <w:textAlignment w:val="baseline"/>
        <w:rPr>
          <w:rFonts w:ascii="黑体" w:hAnsi="黑体" w:eastAsia="黑体" w:cs="黑体"/>
          <w:b/>
          <w:bCs/>
          <w:snapToGrid w:val="0"/>
          <w:color w:val="000000"/>
          <w:spacing w:val="15"/>
          <w:kern w:val="0"/>
          <w:sz w:val="30"/>
          <w:szCs w:val="30"/>
        </w:rPr>
      </w:pPr>
      <w:r>
        <w:rPr>
          <w:rFonts w:hint="eastAsia" w:ascii="黑体" w:hAnsi="黑体" w:eastAsia="黑体" w:cs="黑体"/>
          <w:b/>
          <w:bCs/>
          <w:snapToGrid w:val="0"/>
          <w:color w:val="000000"/>
          <w:spacing w:val="15"/>
          <w:kern w:val="0"/>
          <w:sz w:val="30"/>
          <w:szCs w:val="30"/>
        </w:rPr>
        <w:t>第六章  推广应用</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第二十二条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中国施工企业管理协会科学技术委员会通过组织展览、观摩、交流、对接等活动，对大赛获奖项目进行广泛宣传和推广。</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第二十三条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获奖单位及完成人应积极参加中国施工企业管理协会科学技术委员会组织的宣传和推广活动。</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第二十四条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创新应用类项目获奖单位及完成人应积极推动成果在工程建设一线的实践应用，并在推广应用中持续完善、优化和提高。创意探索类项目获奖单位及完成人应持续推进获奖创意的后续开发工作，确保其成功落地并转化为新质生产力。</w:t>
      </w:r>
    </w:p>
    <w:p>
      <w:pPr>
        <w:widowControl/>
        <w:kinsoku w:val="0"/>
        <w:autoSpaceDE w:val="0"/>
        <w:autoSpaceDN w:val="0"/>
        <w:adjustRightInd w:val="0"/>
        <w:snapToGrid w:val="0"/>
        <w:spacing w:before="95" w:line="360" w:lineRule="auto"/>
        <w:jc w:val="center"/>
        <w:textAlignment w:val="baseline"/>
        <w:rPr>
          <w:rFonts w:ascii="黑体" w:hAnsi="黑体" w:eastAsia="黑体" w:cs="黑体"/>
          <w:b/>
          <w:bCs/>
          <w:snapToGrid w:val="0"/>
          <w:color w:val="000000"/>
          <w:spacing w:val="15"/>
          <w:kern w:val="0"/>
          <w:sz w:val="30"/>
          <w:szCs w:val="30"/>
        </w:rPr>
      </w:pPr>
      <w:r>
        <w:rPr>
          <w:rFonts w:hint="eastAsia" w:ascii="黑体" w:hAnsi="黑体" w:eastAsia="黑体" w:cs="黑体"/>
          <w:b/>
          <w:bCs/>
          <w:snapToGrid w:val="0"/>
          <w:color w:val="000000"/>
          <w:spacing w:val="15"/>
          <w:kern w:val="0"/>
          <w:sz w:val="30"/>
          <w:szCs w:val="30"/>
        </w:rPr>
        <w:t>第七章  附  则</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第二十五条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本办法由中国施工企业管理协会科学技术委员会办公室负责解释。</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r>
        <w:rPr>
          <w:rFonts w:hint="eastAsia" w:ascii="黑体" w:hAnsi="黑体" w:eastAsia="黑体" w:cs="黑体"/>
          <w:spacing w:val="11"/>
          <w:sz w:val="32"/>
          <w:szCs w:val="32"/>
        </w:rPr>
        <w:t>第二十六条</w:t>
      </w:r>
      <w:r>
        <w:rPr>
          <w:rFonts w:hint="eastAsia" w:ascii="仿宋" w:hAnsi="仿宋" w:eastAsia="仿宋" w:cs="仿宋"/>
          <w:spacing w:val="11"/>
          <w:sz w:val="32"/>
          <w:szCs w:val="32"/>
        </w:rPr>
        <w:t xml:space="preserve">  </w:t>
      </w:r>
      <w:r>
        <w:rPr>
          <w:rFonts w:hint="eastAsia" w:ascii="仿宋_GB2312" w:hAnsi="仿宋_GB2312" w:eastAsia="仿宋_GB2312" w:cs="仿宋_GB2312"/>
          <w:spacing w:val="11"/>
          <w:sz w:val="32"/>
          <w:szCs w:val="32"/>
        </w:rPr>
        <w:t>本办法自印发之日起施行。</w:t>
      </w: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p>
    <w:p>
      <w:pPr>
        <w:widowControl/>
        <w:kinsoku w:val="0"/>
        <w:autoSpaceDE w:val="0"/>
        <w:autoSpaceDN w:val="0"/>
        <w:adjustRightInd w:val="0"/>
        <w:snapToGrid w:val="0"/>
        <w:spacing w:line="560" w:lineRule="exact"/>
        <w:ind w:firstLine="684" w:firstLineChars="200"/>
        <w:textAlignment w:val="baseline"/>
        <w:rPr>
          <w:rFonts w:ascii="仿宋" w:hAnsi="仿宋" w:eastAsia="仿宋" w:cs="仿宋"/>
          <w:spacing w:val="11"/>
          <w:sz w:val="32"/>
          <w:szCs w:val="32"/>
        </w:rPr>
      </w:pPr>
      <w:bookmarkStart w:id="0" w:name="_GoBack"/>
      <w:bookmarkEnd w:id="0"/>
    </w:p>
    <w:p/>
    <w:sectPr>
      <w:pgSz w:w="11906" w:h="16838"/>
      <w:pgMar w:top="1247" w:right="1480" w:bottom="1247" w:left="14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lOGRkNjkxYTc4MTMxY2ZmZTYxZTM2ZmEwZGQ3Y2EifQ=="/>
  </w:docVars>
  <w:rsids>
    <w:rsidRoot w:val="00000000"/>
    <w:rsid w:val="1AFB0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2024-04-15T08:04:29Z</dcterms:created>
  <dc:creator>DELL</dc:creator>
  <cp:lastModifiedBy>不想上班Plus pro max</cp:lastModifiedBy>
  <dcterms:modified xsi:type="dcterms:W3CDTF">2024-04-15T08:04:56Z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001E248B2923492F860BFBE47DC9ED89_12</vt:lpwstr>
  </property>
</Properties>
</file>