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54ABD5">
      <w:pPr>
        <w:widowControl w:val="0"/>
        <w:spacing w:after="120"/>
        <w:jc w:val="both"/>
        <w:rPr>
          <w:rFonts w:hint="eastAsia" w:ascii="楷体_GB2312" w:hAnsi="楷体_GB2312" w:eastAsia="楷体_GB2312" w:cs="楷体_GB2312"/>
          <w:b/>
          <w:bCs/>
          <w:kern w:val="2"/>
          <w:sz w:val="32"/>
          <w:szCs w:val="32"/>
          <w:lang w:val="en-US" w:eastAsia="zh-CN" w:bidi="ar-SA"/>
        </w:rPr>
      </w:pPr>
      <w:bookmarkStart w:id="0" w:name="_GoBack"/>
      <w:bookmarkEnd w:id="0"/>
      <w:r>
        <w:rPr>
          <w:rFonts w:hint="eastAsia" w:ascii="楷体_GB2312" w:hAnsi="楷体_GB2312" w:eastAsia="楷体_GB2312" w:cs="楷体_GB2312"/>
          <w:b/>
          <w:bCs/>
          <w:kern w:val="2"/>
          <w:sz w:val="32"/>
          <w:szCs w:val="32"/>
          <w:lang w:val="en-US" w:eastAsia="zh-CN" w:bidi="ar-SA"/>
        </w:rPr>
        <w:t>附件6</w:t>
      </w:r>
    </w:p>
    <w:p w14:paraId="6A9A7D3C">
      <w:pPr>
        <w:widowControl w:val="0"/>
        <w:spacing w:after="120"/>
        <w:jc w:val="center"/>
        <w:rPr>
          <w:rFonts w:ascii="仿宋_GB2312" w:hAnsi="仿宋_GB2312" w:eastAsia="仿宋_GB2312" w:cs="仿宋_GB2312"/>
          <w:kern w:val="2"/>
          <w:sz w:val="32"/>
          <w:szCs w:val="32"/>
          <w:lang w:val="en-US" w:eastAsia="zh-CN" w:bidi="ar-SA"/>
        </w:rPr>
      </w:pPr>
      <w:r>
        <w:rPr>
          <w:rFonts w:hint="eastAsia" w:ascii="方正公文小标宋" w:hAnsi="方正公文小标宋" w:eastAsia="方正公文小标宋" w:cs="方正公文小标宋"/>
          <w:b/>
          <w:bCs/>
          <w:kern w:val="2"/>
          <w:sz w:val="44"/>
          <w:szCs w:val="44"/>
          <w:lang w:val="en-US" w:eastAsia="zh-CN" w:bidi="ar-SA"/>
        </w:rPr>
        <w:t>深圳建筑业协会八届八次理事会审议表</w:t>
      </w:r>
    </w:p>
    <w:p w14:paraId="6F4234AA">
      <w:pPr>
        <w:widowControl w:val="0"/>
        <w:spacing w:after="12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单位（公章）：</w:t>
      </w:r>
    </w:p>
    <w:tbl>
      <w:tblPr>
        <w:tblStyle w:val="7"/>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5473"/>
        <w:gridCol w:w="1364"/>
        <w:gridCol w:w="1555"/>
        <w:gridCol w:w="1458"/>
      </w:tblGrid>
      <w:tr w14:paraId="574427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86" w:hRule="atLeast"/>
          <w:jc w:val="center"/>
        </w:trPr>
        <w:tc>
          <w:tcPr>
            <w:tcW w:w="2777" w:type="pct"/>
            <w:tcBorders>
              <w:tl2br w:val="nil"/>
              <w:tr2bl w:val="nil"/>
            </w:tcBorders>
            <w:shd w:val="clear" w:color="auto" w:fill="FFFFFF"/>
            <w:vAlign w:val="center"/>
          </w:tcPr>
          <w:p w14:paraId="3205BC0A">
            <w:pPr>
              <w:widowControl w:val="0"/>
              <w:spacing w:after="120"/>
              <w:jc w:val="center"/>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表决事项</w:t>
            </w:r>
          </w:p>
        </w:tc>
        <w:tc>
          <w:tcPr>
            <w:tcW w:w="692" w:type="pct"/>
            <w:tcBorders>
              <w:tl2br w:val="nil"/>
              <w:tr2bl w:val="nil"/>
            </w:tcBorders>
            <w:shd w:val="clear" w:color="auto" w:fill="FFFFFF"/>
            <w:vAlign w:val="center"/>
          </w:tcPr>
          <w:p w14:paraId="1EA8994E">
            <w:pPr>
              <w:widowControl w:val="0"/>
              <w:spacing w:after="120"/>
              <w:jc w:val="center"/>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同意</w:t>
            </w:r>
          </w:p>
        </w:tc>
        <w:tc>
          <w:tcPr>
            <w:tcW w:w="789" w:type="pct"/>
            <w:tcBorders>
              <w:tl2br w:val="nil"/>
              <w:tr2bl w:val="nil"/>
            </w:tcBorders>
            <w:shd w:val="clear" w:color="auto" w:fill="FFFFFF"/>
            <w:vAlign w:val="center"/>
          </w:tcPr>
          <w:p w14:paraId="63FEE858">
            <w:pPr>
              <w:widowControl w:val="0"/>
              <w:spacing w:after="120"/>
              <w:jc w:val="center"/>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不同意</w:t>
            </w:r>
          </w:p>
        </w:tc>
        <w:tc>
          <w:tcPr>
            <w:tcW w:w="740" w:type="pct"/>
            <w:tcBorders>
              <w:tl2br w:val="nil"/>
              <w:tr2bl w:val="nil"/>
            </w:tcBorders>
            <w:shd w:val="clear" w:color="auto" w:fill="FFFFFF"/>
            <w:vAlign w:val="center"/>
          </w:tcPr>
          <w:p w14:paraId="77F8542B">
            <w:pPr>
              <w:widowControl w:val="0"/>
              <w:spacing w:after="120"/>
              <w:jc w:val="center"/>
              <w:rPr>
                <w:rFonts w:ascii="仿宋_GB2312" w:hAnsi="仿宋_GB2312" w:eastAsia="仿宋_GB2312" w:cs="仿宋_GB2312"/>
                <w:b/>
                <w:bCs/>
                <w:color w:val="000000"/>
                <w:kern w:val="2"/>
                <w:sz w:val="32"/>
                <w:szCs w:val="32"/>
                <w:lang w:val="en-US" w:eastAsia="zh-CN" w:bidi="ar-SA"/>
              </w:rPr>
            </w:pPr>
            <w:r>
              <w:rPr>
                <w:rFonts w:hint="eastAsia" w:ascii="仿宋_GB2312" w:hAnsi="仿宋_GB2312" w:eastAsia="仿宋_GB2312" w:cs="仿宋_GB2312"/>
                <w:b/>
                <w:bCs/>
                <w:color w:val="000000"/>
                <w:kern w:val="2"/>
                <w:sz w:val="32"/>
                <w:szCs w:val="32"/>
                <w:lang w:val="en-US" w:eastAsia="zh-CN" w:bidi="ar-SA"/>
              </w:rPr>
              <w:t>弃权</w:t>
            </w:r>
          </w:p>
        </w:tc>
      </w:tr>
      <w:tr w14:paraId="4A2ABE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2777" w:type="pct"/>
            <w:tcBorders>
              <w:tl2br w:val="nil"/>
              <w:tr2bl w:val="nil"/>
            </w:tcBorders>
            <w:shd w:val="clear" w:color="auto" w:fill="FFFFFF"/>
            <w:vAlign w:val="center"/>
          </w:tcPr>
          <w:p w14:paraId="107BFE69">
            <w:pPr>
              <w:spacing w:line="560" w:lineRule="exact"/>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sz w:val="32"/>
                <w:szCs w:val="32"/>
              </w:rPr>
              <w:t>深圳建筑业协会九届一次会员大会筹备暨换届选举工作方案</w:t>
            </w:r>
          </w:p>
        </w:tc>
        <w:tc>
          <w:tcPr>
            <w:tcW w:w="692" w:type="pct"/>
            <w:tcBorders>
              <w:tl2br w:val="nil"/>
              <w:tr2bl w:val="nil"/>
            </w:tcBorders>
            <w:shd w:val="clear" w:color="auto" w:fill="FFFFFF"/>
          </w:tcPr>
          <w:p w14:paraId="0B8AFB16">
            <w:pPr>
              <w:widowControl w:val="0"/>
              <w:spacing w:after="120"/>
              <w:jc w:val="both"/>
              <w:rPr>
                <w:rFonts w:ascii="仿宋_GB2312" w:hAnsi="仿宋_GB2312" w:eastAsia="仿宋_GB2312" w:cs="仿宋_GB2312"/>
                <w:color w:val="000000"/>
                <w:kern w:val="2"/>
                <w:sz w:val="32"/>
                <w:szCs w:val="32"/>
                <w:lang w:val="en-US" w:eastAsia="zh-CN" w:bidi="ar-SA"/>
              </w:rPr>
            </w:pPr>
          </w:p>
        </w:tc>
        <w:tc>
          <w:tcPr>
            <w:tcW w:w="789" w:type="pct"/>
            <w:tcBorders>
              <w:tl2br w:val="nil"/>
              <w:tr2bl w:val="nil"/>
            </w:tcBorders>
            <w:shd w:val="clear" w:color="auto" w:fill="FFFFFF"/>
          </w:tcPr>
          <w:p w14:paraId="7F752C58">
            <w:pPr>
              <w:widowControl w:val="0"/>
              <w:spacing w:after="120"/>
              <w:jc w:val="both"/>
              <w:rPr>
                <w:rFonts w:ascii="仿宋_GB2312" w:hAnsi="仿宋_GB2312" w:eastAsia="仿宋_GB2312" w:cs="仿宋_GB2312"/>
                <w:color w:val="000000"/>
                <w:kern w:val="2"/>
                <w:sz w:val="32"/>
                <w:szCs w:val="32"/>
                <w:lang w:val="en-US" w:eastAsia="zh-CN" w:bidi="ar-SA"/>
              </w:rPr>
            </w:pPr>
          </w:p>
        </w:tc>
        <w:tc>
          <w:tcPr>
            <w:tcW w:w="740" w:type="pct"/>
            <w:tcBorders>
              <w:tl2br w:val="nil"/>
              <w:tr2bl w:val="nil"/>
            </w:tcBorders>
            <w:shd w:val="clear" w:color="auto" w:fill="FFFFFF"/>
          </w:tcPr>
          <w:p w14:paraId="7E76B157">
            <w:pPr>
              <w:widowControl w:val="0"/>
              <w:spacing w:after="120"/>
              <w:jc w:val="both"/>
              <w:rPr>
                <w:rFonts w:ascii="仿宋_GB2312" w:hAnsi="仿宋_GB2312" w:eastAsia="仿宋_GB2312" w:cs="仿宋_GB2312"/>
                <w:color w:val="000000"/>
                <w:kern w:val="2"/>
                <w:sz w:val="32"/>
                <w:szCs w:val="32"/>
                <w:lang w:val="en-US" w:eastAsia="zh-CN" w:bidi="ar-SA"/>
              </w:rPr>
            </w:pPr>
          </w:p>
        </w:tc>
      </w:tr>
      <w:tr w14:paraId="3F2B84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762" w:hRule="atLeast"/>
          <w:jc w:val="center"/>
        </w:trPr>
        <w:tc>
          <w:tcPr>
            <w:tcW w:w="2777" w:type="pct"/>
            <w:tcBorders>
              <w:tl2br w:val="nil"/>
              <w:tr2bl w:val="nil"/>
            </w:tcBorders>
            <w:shd w:val="clear" w:color="auto" w:fill="FFFFFF"/>
            <w:vAlign w:val="center"/>
          </w:tcPr>
          <w:p w14:paraId="7DBB85AF">
            <w:pPr>
              <w:spacing w:line="560" w:lineRule="exact"/>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关于设立深圳建筑业协会九届一次会员大会筹备暨换届选举委员会的报告</w:t>
            </w:r>
          </w:p>
        </w:tc>
        <w:tc>
          <w:tcPr>
            <w:tcW w:w="692" w:type="pct"/>
            <w:tcBorders>
              <w:tl2br w:val="nil"/>
              <w:tr2bl w:val="nil"/>
            </w:tcBorders>
            <w:shd w:val="clear" w:color="auto" w:fill="FFFFFF"/>
          </w:tcPr>
          <w:p w14:paraId="7F633905">
            <w:pPr>
              <w:widowControl w:val="0"/>
              <w:spacing w:after="120"/>
              <w:jc w:val="both"/>
              <w:rPr>
                <w:rFonts w:ascii="仿宋_GB2312" w:hAnsi="仿宋_GB2312" w:eastAsia="仿宋_GB2312" w:cs="仿宋_GB2312"/>
                <w:color w:val="000000"/>
                <w:kern w:val="2"/>
                <w:sz w:val="32"/>
                <w:szCs w:val="32"/>
                <w:lang w:val="en-US" w:eastAsia="zh-CN" w:bidi="ar-SA"/>
              </w:rPr>
            </w:pPr>
          </w:p>
        </w:tc>
        <w:tc>
          <w:tcPr>
            <w:tcW w:w="789" w:type="pct"/>
            <w:tcBorders>
              <w:tl2br w:val="nil"/>
              <w:tr2bl w:val="nil"/>
            </w:tcBorders>
            <w:shd w:val="clear" w:color="auto" w:fill="FFFFFF"/>
          </w:tcPr>
          <w:p w14:paraId="1CF12482">
            <w:pPr>
              <w:widowControl w:val="0"/>
              <w:spacing w:after="120"/>
              <w:jc w:val="both"/>
              <w:rPr>
                <w:rFonts w:ascii="仿宋_GB2312" w:hAnsi="仿宋_GB2312" w:eastAsia="仿宋_GB2312" w:cs="仿宋_GB2312"/>
                <w:color w:val="000000"/>
                <w:kern w:val="2"/>
                <w:sz w:val="32"/>
                <w:szCs w:val="32"/>
                <w:lang w:val="en-US" w:eastAsia="zh-CN" w:bidi="ar-SA"/>
              </w:rPr>
            </w:pPr>
          </w:p>
        </w:tc>
        <w:tc>
          <w:tcPr>
            <w:tcW w:w="740" w:type="pct"/>
            <w:tcBorders>
              <w:tl2br w:val="nil"/>
              <w:tr2bl w:val="nil"/>
            </w:tcBorders>
            <w:shd w:val="clear" w:color="auto" w:fill="FFFFFF"/>
          </w:tcPr>
          <w:p w14:paraId="7D04877A">
            <w:pPr>
              <w:widowControl w:val="0"/>
              <w:spacing w:after="120"/>
              <w:jc w:val="both"/>
              <w:rPr>
                <w:rFonts w:ascii="仿宋_GB2312" w:hAnsi="仿宋_GB2312" w:eastAsia="仿宋_GB2312" w:cs="仿宋_GB2312"/>
                <w:color w:val="000000"/>
                <w:kern w:val="2"/>
                <w:sz w:val="32"/>
                <w:szCs w:val="32"/>
                <w:lang w:val="en-US" w:eastAsia="zh-CN" w:bidi="ar-SA"/>
              </w:rPr>
            </w:pPr>
          </w:p>
        </w:tc>
      </w:tr>
      <w:tr w14:paraId="0AFA25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2777" w:type="pct"/>
            <w:tcBorders>
              <w:tl2br w:val="nil"/>
              <w:tr2bl w:val="nil"/>
            </w:tcBorders>
            <w:shd w:val="clear" w:color="auto" w:fill="FFFFFF"/>
            <w:vAlign w:val="center"/>
          </w:tcPr>
          <w:p w14:paraId="7478499D">
            <w:pPr>
              <w:spacing w:line="560" w:lineRule="exact"/>
              <w:jc w:val="both"/>
              <w:rPr>
                <w:rFonts w:ascii="仿宋_GB2312" w:hAnsi="仿宋_GB2312" w:eastAsia="仿宋_GB2312" w:cs="仿宋_GB2312"/>
                <w:color w:val="000000"/>
                <w:kern w:val="2"/>
                <w:sz w:val="32"/>
                <w:szCs w:val="32"/>
                <w:lang w:val="en-US" w:eastAsia="zh-CN" w:bidi="ar-SA"/>
              </w:rPr>
            </w:pPr>
            <w:r>
              <w:rPr>
                <w:rFonts w:ascii="仿宋_GB2312" w:hAnsi="仿宋_GB2312" w:eastAsia="仿宋_GB2312" w:cs="仿宋_GB2312"/>
                <w:color w:val="000000"/>
                <w:sz w:val="32"/>
                <w:szCs w:val="32"/>
              </w:rPr>
              <w:t>3.</w:t>
            </w:r>
            <w:r>
              <w:rPr>
                <w:rFonts w:hint="eastAsia" w:ascii="仿宋_GB2312" w:hAnsi="仿宋_GB2312" w:eastAsia="仿宋_GB2312" w:cs="仿宋_GB2312"/>
                <w:sz w:val="32"/>
                <w:szCs w:val="32"/>
              </w:rPr>
              <w:t>关于中建二局深圳建投发展有限公司等3</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家企业申请入会的报告</w:t>
            </w:r>
          </w:p>
        </w:tc>
        <w:tc>
          <w:tcPr>
            <w:tcW w:w="692" w:type="pct"/>
            <w:tcBorders>
              <w:tl2br w:val="nil"/>
              <w:tr2bl w:val="nil"/>
            </w:tcBorders>
            <w:shd w:val="clear" w:color="auto" w:fill="FFFFFF"/>
          </w:tcPr>
          <w:p w14:paraId="06F71269">
            <w:pPr>
              <w:widowControl w:val="0"/>
              <w:spacing w:after="120"/>
              <w:jc w:val="both"/>
              <w:rPr>
                <w:rFonts w:ascii="仿宋_GB2312" w:hAnsi="仿宋_GB2312" w:eastAsia="仿宋_GB2312" w:cs="仿宋_GB2312"/>
                <w:color w:val="000000"/>
                <w:kern w:val="2"/>
                <w:sz w:val="32"/>
                <w:szCs w:val="32"/>
                <w:lang w:val="en-US" w:eastAsia="zh-CN" w:bidi="ar-SA"/>
              </w:rPr>
            </w:pPr>
          </w:p>
        </w:tc>
        <w:tc>
          <w:tcPr>
            <w:tcW w:w="789" w:type="pct"/>
            <w:tcBorders>
              <w:tl2br w:val="nil"/>
              <w:tr2bl w:val="nil"/>
            </w:tcBorders>
            <w:shd w:val="clear" w:color="auto" w:fill="FFFFFF"/>
          </w:tcPr>
          <w:p w14:paraId="73D4939D">
            <w:pPr>
              <w:widowControl w:val="0"/>
              <w:spacing w:after="120"/>
              <w:jc w:val="both"/>
              <w:rPr>
                <w:rFonts w:ascii="仿宋_GB2312" w:hAnsi="仿宋_GB2312" w:eastAsia="仿宋_GB2312" w:cs="仿宋_GB2312"/>
                <w:color w:val="000000"/>
                <w:kern w:val="2"/>
                <w:sz w:val="32"/>
                <w:szCs w:val="32"/>
                <w:lang w:val="en-US" w:eastAsia="zh-CN" w:bidi="ar-SA"/>
              </w:rPr>
            </w:pPr>
          </w:p>
        </w:tc>
        <w:tc>
          <w:tcPr>
            <w:tcW w:w="740" w:type="pct"/>
            <w:tcBorders>
              <w:tl2br w:val="nil"/>
              <w:tr2bl w:val="nil"/>
            </w:tcBorders>
            <w:shd w:val="clear" w:color="auto" w:fill="FFFFFF"/>
          </w:tcPr>
          <w:p w14:paraId="0BB97543">
            <w:pPr>
              <w:widowControl w:val="0"/>
              <w:spacing w:after="120"/>
              <w:jc w:val="both"/>
              <w:rPr>
                <w:rFonts w:ascii="仿宋_GB2312" w:hAnsi="仿宋_GB2312" w:eastAsia="仿宋_GB2312" w:cs="仿宋_GB2312"/>
                <w:color w:val="000000"/>
                <w:kern w:val="2"/>
                <w:sz w:val="32"/>
                <w:szCs w:val="32"/>
                <w:lang w:val="en-US" w:eastAsia="zh-CN" w:bidi="ar-SA"/>
              </w:rPr>
            </w:pPr>
          </w:p>
        </w:tc>
      </w:tr>
      <w:tr w14:paraId="6D1831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287" w:hRule="atLeast"/>
          <w:jc w:val="center"/>
        </w:trPr>
        <w:tc>
          <w:tcPr>
            <w:tcW w:w="2777" w:type="pct"/>
            <w:tcBorders>
              <w:tl2br w:val="nil"/>
              <w:tr2bl w:val="nil"/>
            </w:tcBorders>
            <w:shd w:val="clear" w:color="auto" w:fill="FFFFFF"/>
            <w:vAlign w:val="center"/>
          </w:tcPr>
          <w:p w14:paraId="7010241A">
            <w:pPr>
              <w:spacing w:line="560" w:lineRule="exact"/>
              <w:jc w:val="both"/>
              <w:rPr>
                <w:rFonts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sz w:val="32"/>
                <w:szCs w:val="32"/>
              </w:rPr>
              <w:t>关于终止部分会员会籍的报告</w:t>
            </w:r>
          </w:p>
        </w:tc>
        <w:tc>
          <w:tcPr>
            <w:tcW w:w="692" w:type="pct"/>
            <w:tcBorders>
              <w:tl2br w:val="nil"/>
              <w:tr2bl w:val="nil"/>
            </w:tcBorders>
            <w:shd w:val="clear" w:color="auto" w:fill="FFFFFF"/>
          </w:tcPr>
          <w:p w14:paraId="7F10AE74">
            <w:pPr>
              <w:widowControl w:val="0"/>
              <w:spacing w:after="120"/>
              <w:jc w:val="both"/>
              <w:rPr>
                <w:rFonts w:ascii="仿宋_GB2312" w:hAnsi="仿宋_GB2312" w:eastAsia="仿宋_GB2312" w:cs="仿宋_GB2312"/>
                <w:color w:val="000000"/>
                <w:kern w:val="2"/>
                <w:sz w:val="32"/>
                <w:szCs w:val="32"/>
                <w:lang w:val="en-US" w:eastAsia="zh-CN" w:bidi="ar-SA"/>
              </w:rPr>
            </w:pPr>
          </w:p>
        </w:tc>
        <w:tc>
          <w:tcPr>
            <w:tcW w:w="789" w:type="pct"/>
            <w:tcBorders>
              <w:tl2br w:val="nil"/>
              <w:tr2bl w:val="nil"/>
            </w:tcBorders>
            <w:shd w:val="clear" w:color="auto" w:fill="FFFFFF"/>
          </w:tcPr>
          <w:p w14:paraId="0E83F157">
            <w:pPr>
              <w:widowControl w:val="0"/>
              <w:spacing w:after="120"/>
              <w:jc w:val="both"/>
              <w:rPr>
                <w:rFonts w:ascii="仿宋_GB2312" w:hAnsi="仿宋_GB2312" w:eastAsia="仿宋_GB2312" w:cs="仿宋_GB2312"/>
                <w:color w:val="000000"/>
                <w:kern w:val="2"/>
                <w:sz w:val="32"/>
                <w:szCs w:val="32"/>
                <w:lang w:val="en-US" w:eastAsia="zh-CN" w:bidi="ar-SA"/>
              </w:rPr>
            </w:pPr>
          </w:p>
        </w:tc>
        <w:tc>
          <w:tcPr>
            <w:tcW w:w="740" w:type="pct"/>
            <w:tcBorders>
              <w:tl2br w:val="nil"/>
              <w:tr2bl w:val="nil"/>
            </w:tcBorders>
            <w:shd w:val="clear" w:color="auto" w:fill="FFFFFF"/>
          </w:tcPr>
          <w:p w14:paraId="1D899997">
            <w:pPr>
              <w:widowControl w:val="0"/>
              <w:spacing w:after="120"/>
              <w:jc w:val="both"/>
              <w:rPr>
                <w:rFonts w:ascii="仿宋_GB2312" w:hAnsi="仿宋_GB2312" w:eastAsia="仿宋_GB2312" w:cs="仿宋_GB2312"/>
                <w:color w:val="000000"/>
                <w:kern w:val="2"/>
                <w:sz w:val="32"/>
                <w:szCs w:val="32"/>
                <w:lang w:val="en-US" w:eastAsia="zh-CN" w:bidi="ar-SA"/>
              </w:rPr>
            </w:pPr>
          </w:p>
        </w:tc>
      </w:tr>
      <w:tr w14:paraId="71E878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2777" w:type="pct"/>
            <w:tcBorders>
              <w:tl2br w:val="nil"/>
              <w:tr2bl w:val="nil"/>
            </w:tcBorders>
            <w:shd w:val="clear" w:color="auto" w:fill="FFFFFF"/>
            <w:vAlign w:val="center"/>
          </w:tcPr>
          <w:p w14:paraId="22A80938">
            <w:pPr>
              <w:spacing w:line="560" w:lineRule="exact"/>
              <w:jc w:val="both"/>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5.关于自荐拟任深圳建筑业协会第九届职务候选单位及其候选人的公告</w:t>
            </w:r>
          </w:p>
        </w:tc>
        <w:tc>
          <w:tcPr>
            <w:tcW w:w="692" w:type="pct"/>
            <w:tcBorders>
              <w:tl2br w:val="nil"/>
              <w:tr2bl w:val="nil"/>
            </w:tcBorders>
            <w:shd w:val="clear" w:color="auto" w:fill="FFFFFF"/>
          </w:tcPr>
          <w:p w14:paraId="02FBC2B9">
            <w:pPr>
              <w:widowControl w:val="0"/>
              <w:spacing w:after="120"/>
              <w:jc w:val="both"/>
              <w:rPr>
                <w:rFonts w:ascii="仿宋_GB2312" w:hAnsi="仿宋_GB2312" w:eastAsia="仿宋_GB2312" w:cs="仿宋_GB2312"/>
                <w:color w:val="000000"/>
                <w:kern w:val="2"/>
                <w:sz w:val="32"/>
                <w:szCs w:val="32"/>
                <w:lang w:val="en-US" w:eastAsia="zh-CN" w:bidi="ar-SA"/>
              </w:rPr>
            </w:pPr>
          </w:p>
        </w:tc>
        <w:tc>
          <w:tcPr>
            <w:tcW w:w="789" w:type="pct"/>
            <w:tcBorders>
              <w:tl2br w:val="nil"/>
              <w:tr2bl w:val="nil"/>
            </w:tcBorders>
            <w:shd w:val="clear" w:color="auto" w:fill="FFFFFF"/>
          </w:tcPr>
          <w:p w14:paraId="2E18D6BF">
            <w:pPr>
              <w:widowControl w:val="0"/>
              <w:spacing w:after="120"/>
              <w:jc w:val="both"/>
              <w:rPr>
                <w:rFonts w:ascii="仿宋_GB2312" w:hAnsi="仿宋_GB2312" w:eastAsia="仿宋_GB2312" w:cs="仿宋_GB2312"/>
                <w:color w:val="000000"/>
                <w:kern w:val="2"/>
                <w:sz w:val="32"/>
                <w:szCs w:val="32"/>
                <w:lang w:val="en-US" w:eastAsia="zh-CN" w:bidi="ar-SA"/>
              </w:rPr>
            </w:pPr>
          </w:p>
        </w:tc>
        <w:tc>
          <w:tcPr>
            <w:tcW w:w="740" w:type="pct"/>
            <w:tcBorders>
              <w:tl2br w:val="nil"/>
              <w:tr2bl w:val="nil"/>
            </w:tcBorders>
            <w:shd w:val="clear" w:color="auto" w:fill="FFFFFF"/>
          </w:tcPr>
          <w:p w14:paraId="0E5AB89F">
            <w:pPr>
              <w:widowControl w:val="0"/>
              <w:spacing w:after="120"/>
              <w:jc w:val="both"/>
              <w:rPr>
                <w:rFonts w:ascii="仿宋_GB2312" w:hAnsi="仿宋_GB2312" w:eastAsia="仿宋_GB2312" w:cs="仿宋_GB2312"/>
                <w:color w:val="000000"/>
                <w:kern w:val="2"/>
                <w:sz w:val="32"/>
                <w:szCs w:val="32"/>
                <w:lang w:val="en-US" w:eastAsia="zh-CN" w:bidi="ar-SA"/>
              </w:rPr>
            </w:pPr>
          </w:p>
        </w:tc>
      </w:tr>
    </w:tbl>
    <w:p w14:paraId="5960CB7A">
      <w:pPr>
        <w:keepNext w:val="0"/>
        <w:keepLines w:val="0"/>
        <w:pageBreakBefore w:val="0"/>
        <w:widowControl w:val="0"/>
        <w:kinsoku/>
        <w:wordWrap/>
        <w:overflowPunct/>
        <w:topLinePunct w:val="0"/>
        <w:autoSpaceDE/>
        <w:autoSpaceDN/>
        <w:bidi w:val="0"/>
        <w:adjustRightInd/>
        <w:snapToGrid w:val="0"/>
        <w:spacing w:before="313" w:beforeLines="100" w:after="120" w:line="300" w:lineRule="auto"/>
        <w:jc w:val="both"/>
        <w:textAlignment w:val="auto"/>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注：1、仅在选定事项栏打√；</w:t>
      </w:r>
    </w:p>
    <w:p w14:paraId="1E21FC81">
      <w:pPr>
        <w:widowControl w:val="0"/>
        <w:snapToGrid w:val="0"/>
        <w:spacing w:after="120" w:line="300" w:lineRule="auto"/>
        <w:ind w:firstLine="640" w:firstLineChars="20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2、请于2024</w:t>
      </w:r>
      <w:r>
        <w:rPr>
          <w:rFonts w:hint="eastAsia" w:ascii="仿宋_GB2312" w:hAnsi="仿宋_GB2312" w:eastAsia="仿宋_GB2312" w:cs="仿宋_GB2312"/>
          <w:kern w:val="2"/>
          <w:sz w:val="32"/>
          <w:szCs w:val="32"/>
          <w:highlight w:val="none"/>
          <w:lang w:val="en-US" w:eastAsia="zh-CN" w:bidi="ar-SA"/>
        </w:rPr>
        <w:t>年10月17日（星期四）</w:t>
      </w:r>
      <w:r>
        <w:rPr>
          <w:rFonts w:hint="eastAsia" w:ascii="仿宋_GB2312" w:hAnsi="仿宋_GB2312" w:eastAsia="仿宋_GB2312" w:cs="仿宋_GB2312"/>
          <w:kern w:val="2"/>
          <w:sz w:val="32"/>
          <w:szCs w:val="32"/>
          <w:lang w:val="en-US" w:eastAsia="zh-CN" w:bidi="ar-SA"/>
        </w:rPr>
        <w:t>下午5点前盖章后发送至电子邮箱szjzyxh2022@163.com（联系人：徐工 83190116、刘工 83193948），逾期未反馈则视为同意。</w:t>
      </w:r>
    </w:p>
    <w:p w14:paraId="5494D53A">
      <w:pPr>
        <w:pStyle w:val="2"/>
        <w:keepNext w:val="0"/>
        <w:keepLines w:val="0"/>
        <w:pageBreakBefore w:val="0"/>
        <w:widowControl w:val="0"/>
        <w:kinsoku/>
        <w:wordWrap/>
        <w:overflowPunct/>
        <w:topLinePunct w:val="0"/>
        <w:autoSpaceDE/>
        <w:autoSpaceDN/>
        <w:bidi w:val="0"/>
        <w:adjustRightInd/>
        <w:snapToGrid/>
        <w:spacing w:after="0" w:line="560" w:lineRule="exact"/>
        <w:ind w:right="840" w:rightChars="400"/>
        <w:jc w:val="left"/>
        <w:textAlignment w:val="auto"/>
        <w:rPr>
          <w:rFonts w:hint="eastAsia" w:ascii="仿宋_GB2312" w:hAnsi="仿宋_GB2312" w:eastAsia="仿宋_GB2312" w:cs="仿宋_GB2312"/>
          <w:sz w:val="32"/>
          <w:szCs w:val="32"/>
        </w:rPr>
      </w:pPr>
    </w:p>
    <w:sectPr>
      <w:headerReference r:id="rId3" w:type="default"/>
      <w:footerReference r:id="rId4" w:type="default"/>
      <w:pgSz w:w="11906" w:h="16838"/>
      <w:pgMar w:top="1134" w:right="1134" w:bottom="1134" w:left="1134" w:header="851" w:footer="90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FA4E0BC-CB27-4749-BAEA-B17C55A551ED}"/>
  </w:font>
  <w:font w:name="仿宋">
    <w:panose1 w:val="02010609060101010101"/>
    <w:charset w:val="86"/>
    <w:family w:val="modern"/>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embedRegular r:id="rId2" w:fontKey="{98D84E44-D1B0-4214-A4E3-2462A78CA8E3}"/>
  </w:font>
  <w:font w:name="仿宋_GB2312">
    <w:panose1 w:val="02010609030101010101"/>
    <w:charset w:val="86"/>
    <w:family w:val="auto"/>
    <w:pitch w:val="default"/>
    <w:sig w:usb0="00000001" w:usb1="080E0000" w:usb2="00000000" w:usb3="00000000" w:csb0="00040000" w:csb1="00000000"/>
    <w:embedRegular r:id="rId3" w:fontKey="{B7C8D525-7DE5-4327-A197-E87E44C672DE}"/>
  </w:font>
  <w:font w:name="楷体_GB2312">
    <w:panose1 w:val="02010609030101010101"/>
    <w:charset w:val="86"/>
    <w:family w:val="auto"/>
    <w:pitch w:val="default"/>
    <w:sig w:usb0="00000001" w:usb1="080E0000" w:usb2="00000000" w:usb3="00000000" w:csb0="00040000" w:csb1="00000000"/>
    <w:embedRegular r:id="rId4" w:fontKey="{97DE714B-FEE8-421D-92D1-E4F67DDC751F}"/>
  </w:font>
  <w:font w:name="Mangal">
    <w:altName w:val="Courier New"/>
    <w:panose1 w:val="00000400000000000000"/>
    <w:charset w:val="01"/>
    <w:family w:val="roman"/>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F913C">
    <w:pPr>
      <w:widowControl w:val="0"/>
      <w:snapToGrid w:val="0"/>
      <w:jc w:val="left"/>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7C6E42">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F7C6E42">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2AEC4">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rPr>
        <w:rFonts w:ascii="Calibri" w:hAnsi="Calibri" w:eastAsia="宋体" w:cs="Times New Roman"/>
        <w:kern w:val="2"/>
        <w:sz w:val="18"/>
        <w:szCs w:val="24"/>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docVars>
    <w:docVar w:name="commondata" w:val="eyJoZGlkIjoiN2ExYTYyYzYyMmQ0Y2IyNTU5NTAxYzE5MzhlZDJhOTgifQ=="/>
  </w:docVars>
  <w:rsids>
    <w:rsidRoot w:val="00C928FF"/>
    <w:rsid w:val="00281F4F"/>
    <w:rsid w:val="002D5314"/>
    <w:rsid w:val="00794AF2"/>
    <w:rsid w:val="00BC4A88"/>
    <w:rsid w:val="00C928FF"/>
    <w:rsid w:val="00EA0865"/>
    <w:rsid w:val="00F57047"/>
    <w:rsid w:val="0AAE15FE"/>
    <w:rsid w:val="0C9E7560"/>
    <w:rsid w:val="0FA4719E"/>
    <w:rsid w:val="181C67DD"/>
    <w:rsid w:val="18EF7694"/>
    <w:rsid w:val="1EAF09F5"/>
    <w:rsid w:val="27E9153A"/>
    <w:rsid w:val="29890093"/>
    <w:rsid w:val="29C02312"/>
    <w:rsid w:val="29FB2613"/>
    <w:rsid w:val="2C9E3078"/>
    <w:rsid w:val="2CF37F91"/>
    <w:rsid w:val="3446520A"/>
    <w:rsid w:val="34DE4F01"/>
    <w:rsid w:val="34F00678"/>
    <w:rsid w:val="3D7177A9"/>
    <w:rsid w:val="3D931088"/>
    <w:rsid w:val="3E834C59"/>
    <w:rsid w:val="3EC177B6"/>
    <w:rsid w:val="41716645"/>
    <w:rsid w:val="421D7172"/>
    <w:rsid w:val="427F51F1"/>
    <w:rsid w:val="44572143"/>
    <w:rsid w:val="4513256F"/>
    <w:rsid w:val="482E2E4B"/>
    <w:rsid w:val="4DC66910"/>
    <w:rsid w:val="51096667"/>
    <w:rsid w:val="630F60D9"/>
    <w:rsid w:val="63B204E5"/>
    <w:rsid w:val="70D867D7"/>
    <w:rsid w:val="78B95A4A"/>
    <w:rsid w:val="78E232E4"/>
    <w:rsid w:val="7D905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qFormat/>
    <w:uiPriority w:val="0"/>
  </w:style>
  <w:style w:type="character" w:styleId="10">
    <w:name w:val="Hyperlink"/>
    <w:basedOn w:val="8"/>
    <w:qFormat/>
    <w:uiPriority w:val="0"/>
    <w:rPr>
      <w:color w:val="0000FF"/>
      <w:u w:val="single"/>
    </w:rPr>
  </w:style>
  <w:style w:type="paragraph" w:customStyle="1" w:styleId="11">
    <w:name w:val="列出段落1"/>
    <w:basedOn w:val="1"/>
    <w:qFormat/>
    <w:uiPriority w:val="0"/>
    <w:pPr>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093796-C8C8-4455-BC95-76E065381B0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11411</Words>
  <Characters>12022</Characters>
  <Lines>5</Lines>
  <Paragraphs>1</Paragraphs>
  <TotalTime>245</TotalTime>
  <ScaleCrop>false</ScaleCrop>
  <LinksUpToDate>false</LinksUpToDate>
  <CharactersWithSpaces>12466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2017-11-15T08:09:00Z</dcterms:created>
  <dc:creator>tianzi</dc:creator>
  <cp:lastModifiedBy>载歌幽人</cp:lastModifiedBy>
  <cp:lastPrinted>2024-10-12T06:27:57Z</cp:lastPrinted>
  <dcterms:modified xsi:type="dcterms:W3CDTF">2024-10-12T06:36:11Z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5AF71F362C3F416784E2EEF862D2A681_13</vt:lpwstr>
  </property>
</Properties>
</file>